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8F9B5">
      <w:pPr>
        <w:jc w:val="center"/>
        <w:rPr>
          <w:rFonts w:hint="eastAsia" w:ascii="Times New Roman" w:hAnsi="Times New Roman" w:eastAsia="宋体"/>
          <w:b/>
          <w:bCs/>
          <w:sz w:val="15"/>
          <w:szCs w:val="15"/>
          <w:lang w:eastAsia="zh-CN"/>
        </w:rPr>
      </w:pPr>
    </w:p>
    <w:p w14:paraId="6BEE5DE3">
      <w:pPr>
        <w:jc w:val="center"/>
        <w:rPr>
          <w:rFonts w:hint="eastAsia" w:ascii="Times New Roman" w:hAnsi="Times New Roman" w:eastAsia="宋体"/>
          <w:b/>
          <w:bCs/>
          <w:sz w:val="15"/>
          <w:szCs w:val="15"/>
          <w:lang w:eastAsia="zh-CN"/>
        </w:rPr>
      </w:pPr>
    </w:p>
    <w:p w14:paraId="49BF105F">
      <w:pPr>
        <w:jc w:val="center"/>
        <w:rPr>
          <w:rFonts w:hint="eastAsia" w:ascii="Times New Roman" w:hAnsi="Times New Roman" w:eastAsia="宋体"/>
          <w:b/>
          <w:bCs/>
          <w:sz w:val="32"/>
          <w:szCs w:val="32"/>
          <w:lang w:eastAsia="zh-CN"/>
        </w:rPr>
      </w:pPr>
    </w:p>
    <w:p w14:paraId="423419D9">
      <w:pPr>
        <w:rPr>
          <w:rFonts w:hint="eastAsia" w:ascii="Times New Roman" w:hAnsi="Times New Roman"/>
          <w:b/>
          <w:bCs/>
          <w:sz w:val="32"/>
          <w:szCs w:val="32"/>
        </w:rPr>
      </w:pPr>
    </w:p>
    <w:p w14:paraId="761E5140">
      <w:pPr>
        <w:rPr>
          <w:rFonts w:hint="eastAsia" w:ascii="Times New Roman" w:hAnsi="Times New Roman"/>
          <w:b/>
          <w:bCs/>
          <w:sz w:val="32"/>
          <w:szCs w:val="32"/>
        </w:rPr>
      </w:pPr>
    </w:p>
    <w:p w14:paraId="0ECD5DAB">
      <w:pPr>
        <w:rPr>
          <w:rFonts w:hint="eastAsia" w:ascii="Times New Roman" w:hAnsi="Times New Roman"/>
          <w:b/>
          <w:bCs/>
          <w:sz w:val="32"/>
          <w:szCs w:val="32"/>
        </w:rPr>
      </w:pPr>
    </w:p>
    <w:p w14:paraId="2B5C2A32">
      <w:pPr>
        <w:rPr>
          <w:rFonts w:hint="eastAsia" w:ascii="Times New Roman" w:hAnsi="Times New Roman"/>
          <w:b/>
          <w:bCs/>
          <w:sz w:val="32"/>
          <w:szCs w:val="32"/>
        </w:rPr>
      </w:pPr>
    </w:p>
    <w:p w14:paraId="7D394C29">
      <w:pPr>
        <w:rPr>
          <w:rFonts w:hint="eastAsia" w:ascii="Times New Roman" w:hAnsi="Times New Roman"/>
          <w:b/>
          <w:bCs/>
          <w:sz w:val="32"/>
          <w:szCs w:val="32"/>
        </w:rPr>
      </w:pPr>
    </w:p>
    <w:p w14:paraId="29B1DDBF">
      <w:pPr>
        <w:rPr>
          <w:rFonts w:hint="eastAsia" w:ascii="Times New Roman" w:hAnsi="Times New Roman"/>
          <w:b/>
          <w:bCs/>
          <w:sz w:val="32"/>
          <w:szCs w:val="32"/>
        </w:rPr>
      </w:pPr>
    </w:p>
    <w:p w14:paraId="6B2E80DB">
      <w:pPr>
        <w:jc w:val="center"/>
        <w:rPr>
          <w:rFonts w:hint="eastAsia" w:ascii="Times New Roman" w:hAnsi="Times New Roman"/>
          <w:b/>
          <w:bCs/>
          <w:sz w:val="32"/>
          <w:szCs w:val="32"/>
        </w:rPr>
      </w:pPr>
      <w:r>
        <w:rPr>
          <w:rFonts w:hint="eastAsia" w:ascii="Times New Roman" w:hAnsi="Times New Roman"/>
          <w:b/>
          <w:bCs/>
          <w:sz w:val="84"/>
          <w:szCs w:val="84"/>
        </w:rPr>
        <w:t>《</w:t>
      </w:r>
      <w:r>
        <w:rPr>
          <w:rFonts w:hint="default" w:ascii="Times New Roman" w:hAnsi="Times New Roman"/>
          <w:b/>
          <w:bCs/>
          <w:sz w:val="84"/>
          <w:szCs w:val="84"/>
        </w:rPr>
        <w:t>学前教育管理</w:t>
      </w:r>
      <w:r>
        <w:rPr>
          <w:rFonts w:hint="eastAsia" w:ascii="Times New Roman" w:hAnsi="Times New Roman"/>
          <w:b/>
          <w:bCs/>
          <w:sz w:val="84"/>
          <w:szCs w:val="84"/>
        </w:rPr>
        <w:t>》</w:t>
      </w:r>
    </w:p>
    <w:p w14:paraId="6B26E4EA">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2A7717C6">
      <w:pPr>
        <w:jc w:val="center"/>
        <w:rPr>
          <w:rFonts w:hint="eastAsia" w:ascii="Times New Roman" w:hAnsi="Times New Roman"/>
          <w:b/>
          <w:bCs/>
          <w:sz w:val="72"/>
          <w:szCs w:val="72"/>
        </w:rPr>
      </w:pPr>
    </w:p>
    <w:p w14:paraId="2EE4E787">
      <w:pPr>
        <w:jc w:val="center"/>
        <w:rPr>
          <w:rFonts w:hint="eastAsia" w:ascii="Times New Roman" w:hAnsi="Times New Roman"/>
          <w:b/>
          <w:bCs/>
          <w:sz w:val="72"/>
          <w:szCs w:val="72"/>
        </w:rPr>
      </w:pPr>
      <w:r>
        <w:rPr>
          <w:rFonts w:hint="eastAsia" w:ascii="Times New Roman" w:hAnsi="Times New Roman"/>
          <w:b/>
          <w:bCs/>
          <w:sz w:val="72"/>
          <w:szCs w:val="72"/>
        </w:rPr>
        <w:t>教案</w:t>
      </w:r>
    </w:p>
    <w:p w14:paraId="1A722B11">
      <w:pPr>
        <w:jc w:val="center"/>
        <w:rPr>
          <w:rFonts w:hint="eastAsia" w:ascii="Times New Roman" w:hAnsi="Times New Roman"/>
          <w:b/>
          <w:bCs/>
          <w:sz w:val="28"/>
          <w:szCs w:val="28"/>
        </w:rPr>
      </w:pPr>
    </w:p>
    <w:p w14:paraId="5F513871">
      <w:pPr>
        <w:jc w:val="both"/>
        <w:rPr>
          <w:rFonts w:hint="eastAsia" w:ascii="Times New Roman" w:hAnsi="Times New Roman"/>
          <w:b/>
          <w:bCs/>
          <w:sz w:val="28"/>
          <w:szCs w:val="28"/>
        </w:rPr>
      </w:pPr>
    </w:p>
    <w:p w14:paraId="28862CE8">
      <w:pPr>
        <w:jc w:val="both"/>
        <w:rPr>
          <w:rFonts w:hint="eastAsia" w:ascii="Times New Roman" w:hAnsi="Times New Roman"/>
          <w:b/>
          <w:bCs/>
          <w:sz w:val="28"/>
          <w:szCs w:val="28"/>
        </w:rPr>
      </w:pPr>
    </w:p>
    <w:p w14:paraId="07FDE400">
      <w:pPr>
        <w:jc w:val="center"/>
        <w:rPr>
          <w:rFonts w:hint="eastAsia" w:ascii="Times New Roman" w:hAnsi="Times New Roman"/>
          <w:b/>
          <w:bCs/>
          <w:sz w:val="28"/>
          <w:szCs w:val="28"/>
        </w:rPr>
      </w:pPr>
    </w:p>
    <w:p w14:paraId="0A21D6A9">
      <w:pPr>
        <w:jc w:val="center"/>
        <w:rPr>
          <w:rFonts w:hint="eastAsia" w:ascii="Times New Roman" w:hAnsi="Times New Roman"/>
          <w:b/>
          <w:bCs/>
          <w:sz w:val="28"/>
          <w:szCs w:val="28"/>
        </w:rPr>
      </w:pPr>
    </w:p>
    <w:p w14:paraId="72C635E3">
      <w:pPr>
        <w:jc w:val="center"/>
        <w:rPr>
          <w:rFonts w:hint="eastAsia" w:ascii="Times New Roman" w:hAnsi="Times New Roman"/>
          <w:b/>
          <w:bCs/>
          <w:sz w:val="28"/>
          <w:szCs w:val="28"/>
        </w:rPr>
      </w:pPr>
    </w:p>
    <w:p w14:paraId="5281BE73">
      <w:pPr>
        <w:jc w:val="both"/>
        <w:rPr>
          <w:rFonts w:hint="eastAsia" w:ascii="Times New Roman" w:hAnsi="Times New Roman"/>
          <w:b/>
          <w:bCs/>
          <w:sz w:val="28"/>
          <w:szCs w:val="28"/>
        </w:rPr>
      </w:pPr>
    </w:p>
    <w:p w14:paraId="6B7C9AFE">
      <w:pPr>
        <w:jc w:val="both"/>
        <w:rPr>
          <w:rFonts w:hint="eastAsia" w:ascii="Times New Roman" w:hAnsi="Times New Roman"/>
          <w:b/>
          <w:bCs/>
          <w:sz w:val="28"/>
          <w:szCs w:val="28"/>
        </w:rPr>
      </w:pPr>
    </w:p>
    <w:p w14:paraId="0F016CAB">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36D1E095">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36D1E095">
                      <w:pPr>
                        <w:rPr>
                          <w14:textFill>
                            <w14:noFill/>
                          </w14:textFill>
                        </w:rPr>
                      </w:pPr>
                    </w:p>
                  </w:txbxContent>
                </v:textbox>
              </v:rect>
            </w:pict>
          </mc:Fallback>
        </mc:AlternateContent>
      </w:r>
    </w:p>
    <w:p w14:paraId="233B1938">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013CD2B9">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9"/>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69E94DC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56777F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课题</w:t>
            </w:r>
          </w:p>
        </w:tc>
        <w:tc>
          <w:tcPr>
            <w:tcW w:w="9394" w:type="dxa"/>
            <w:gridSpan w:val="2"/>
            <w:tcBorders>
              <w:tl2br w:val="nil"/>
              <w:tr2bl w:val="nil"/>
            </w:tcBorders>
            <w:vAlign w:val="center"/>
          </w:tcPr>
          <w:p w14:paraId="0C2EC0AF">
            <w:pPr>
              <w:keepNext w:val="0"/>
              <w:keepLines w:val="0"/>
              <w:suppressLineNumbers w:val="0"/>
              <w:spacing w:before="0" w:beforeAutospacing="0" w:after="0" w:afterAutospacing="0" w:line="264" w:lineRule="auto"/>
              <w:ind w:left="0" w:right="0"/>
              <w:rPr>
                <w:rFonts w:hint="default" w:ascii="Times New Roman" w:hAnsi="Times New Roman" w:eastAsia="宋体"/>
                <w:b w:val="0"/>
                <w:bCs/>
                <w:sz w:val="24"/>
                <w:szCs w:val="24"/>
                <w:lang w:eastAsia="zh-CN"/>
              </w:rPr>
            </w:pPr>
            <w:r>
              <w:rPr>
                <w:rFonts w:hint="eastAsia" w:ascii="Times New Roman" w:hAnsi="宋体"/>
                <w:b w:val="0"/>
                <w:bCs/>
                <w:color w:val="806000" w:themeColor="accent4" w:themeShade="80"/>
                <w:sz w:val="28"/>
                <w:szCs w:val="28"/>
                <w:lang w:val="en-US" w:eastAsia="zh-CN"/>
              </w:rPr>
              <w:t>项目十  学前</w:t>
            </w:r>
            <w:r>
              <w:rPr>
                <w:rFonts w:hint="default" w:ascii="Times New Roman" w:hAnsi="宋体"/>
                <w:b w:val="0"/>
                <w:bCs/>
                <w:color w:val="806000" w:themeColor="accent4" w:themeShade="80"/>
                <w:sz w:val="28"/>
                <w:szCs w:val="28"/>
                <w:lang w:eastAsia="zh-CN"/>
              </w:rPr>
              <w:t>全纳教育</w:t>
            </w:r>
            <w:r>
              <w:rPr>
                <w:rFonts w:hint="eastAsia" w:ascii="Times New Roman" w:hAnsi="宋体"/>
                <w:b w:val="0"/>
                <w:bCs/>
                <w:color w:val="806000" w:themeColor="accent4" w:themeShade="80"/>
                <w:sz w:val="28"/>
                <w:szCs w:val="28"/>
                <w:lang w:val="en-US" w:eastAsia="zh-CN"/>
              </w:rPr>
              <w:t>管理</w:t>
            </w:r>
          </w:p>
        </w:tc>
      </w:tr>
      <w:tr w14:paraId="6B6BA4A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EC11AD">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课时</w:t>
            </w:r>
          </w:p>
        </w:tc>
        <w:tc>
          <w:tcPr>
            <w:tcW w:w="9394" w:type="dxa"/>
            <w:gridSpan w:val="2"/>
            <w:tcBorders>
              <w:tl2br w:val="nil"/>
              <w:tr2bl w:val="nil"/>
            </w:tcBorders>
            <w:vAlign w:val="center"/>
          </w:tcPr>
          <w:p w14:paraId="48653E1D">
            <w:pPr>
              <w:keepNext w:val="0"/>
              <w:keepLines w:val="0"/>
              <w:suppressLineNumbers w:val="0"/>
              <w:spacing w:before="0" w:beforeAutospacing="0" w:after="0" w:afterAutospacing="0" w:line="264" w:lineRule="auto"/>
              <w:ind w:left="0" w:right="0" w:hanging="8"/>
              <w:rPr>
                <w:rFonts w:hint="default" w:ascii="Times New Roman" w:hAnsi="Times New Roman"/>
                <w:b w:val="0"/>
                <w:bCs/>
                <w:sz w:val="24"/>
                <w:szCs w:val="24"/>
              </w:rPr>
            </w:pPr>
            <w:r>
              <w:rPr>
                <w:rFonts w:hint="default" w:ascii="Times New Roman" w:hAnsi="宋体"/>
                <w:b w:val="0"/>
                <w:bCs/>
                <w:sz w:val="24"/>
                <w:szCs w:val="24"/>
              </w:rPr>
              <w:t>2课时</w:t>
            </w:r>
            <w:r>
              <w:rPr>
                <w:rFonts w:hint="eastAsia" w:ascii="Times New Roman" w:hAnsi="宋体"/>
                <w:b w:val="0"/>
                <w:bCs/>
                <w:sz w:val="24"/>
                <w:szCs w:val="24"/>
              </w:rPr>
              <w:t>（</w:t>
            </w:r>
            <w:r>
              <w:rPr>
                <w:rFonts w:hint="eastAsia" w:ascii="Times New Roman" w:hAnsi="宋体"/>
                <w:b w:val="0"/>
                <w:bCs/>
                <w:sz w:val="24"/>
                <w:szCs w:val="24"/>
                <w:lang w:val="en-US" w:eastAsia="zh-CN"/>
              </w:rPr>
              <w:t>90</w:t>
            </w:r>
            <w:bookmarkStart w:id="0" w:name="_GoBack"/>
            <w:bookmarkEnd w:id="0"/>
            <w:r>
              <w:rPr>
                <w:rFonts w:hint="eastAsia" w:ascii="Times New Roman" w:hAnsi="宋体"/>
                <w:b w:val="0"/>
                <w:bCs/>
                <w:sz w:val="24"/>
                <w:szCs w:val="24"/>
              </w:rPr>
              <w:t>min）。</w:t>
            </w:r>
          </w:p>
        </w:tc>
      </w:tr>
      <w:tr w14:paraId="5EFB3ED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0659C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教学目标</w:t>
            </w:r>
          </w:p>
        </w:tc>
        <w:tc>
          <w:tcPr>
            <w:tcW w:w="9394" w:type="dxa"/>
            <w:gridSpan w:val="2"/>
            <w:tcBorders>
              <w:tl2br w:val="nil"/>
              <w:tr2bl w:val="nil"/>
            </w:tcBorders>
            <w:vAlign w:val="center"/>
          </w:tcPr>
          <w:p w14:paraId="459F7605">
            <w:pPr>
              <w:keepNext w:val="0"/>
              <w:keepLines w:val="0"/>
              <w:suppressLineNumbers w:val="0"/>
              <w:spacing w:before="0" w:beforeAutospacing="0" w:after="0" w:afterAutospacing="0" w:line="360" w:lineRule="auto"/>
              <w:ind w:left="0" w:right="0" w:hanging="8"/>
              <w:rPr>
                <w:rFonts w:hint="default"/>
                <w:b w:val="0"/>
                <w:bCs/>
                <w:color w:val="806000" w:themeColor="accent4" w:themeShade="80"/>
                <w:sz w:val="24"/>
                <w:szCs w:val="24"/>
              </w:rPr>
            </w:pPr>
            <w:r>
              <w:rPr>
                <w:rFonts w:hint="default" w:hAnsi="宋体"/>
                <w:b w:val="0"/>
                <w:bCs/>
                <w:color w:val="806000" w:themeColor="accent4" w:themeShade="80"/>
                <w:sz w:val="24"/>
                <w:szCs w:val="24"/>
              </w:rPr>
              <w:t>知识</w:t>
            </w:r>
            <w:r>
              <w:rPr>
                <w:rFonts w:hint="eastAsia" w:hAnsi="宋体"/>
                <w:b w:val="0"/>
                <w:bCs/>
                <w:color w:val="806000" w:themeColor="accent4" w:themeShade="80"/>
                <w:sz w:val="24"/>
                <w:szCs w:val="24"/>
              </w:rPr>
              <w:t>技能</w:t>
            </w:r>
            <w:r>
              <w:rPr>
                <w:rFonts w:hint="default" w:hAnsi="宋体"/>
                <w:b w:val="0"/>
                <w:bCs/>
                <w:color w:val="806000" w:themeColor="accent4" w:themeShade="80"/>
                <w:sz w:val="24"/>
                <w:szCs w:val="24"/>
              </w:rPr>
              <w:t>目标：</w:t>
            </w:r>
          </w:p>
          <w:p w14:paraId="72D7A6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 w:val="0"/>
                <w:bCs/>
                <w:sz w:val="24"/>
                <w:szCs w:val="24"/>
              </w:rPr>
            </w:pPr>
            <w:r>
              <w:rPr>
                <w:rFonts w:hint="default" w:ascii="Times New Roman" w:hAnsi="Times New Roman"/>
                <w:b w:val="0"/>
                <w:bCs/>
                <w:sz w:val="24"/>
                <w:szCs w:val="24"/>
              </w:rPr>
              <w:t>1</w:t>
            </w:r>
            <w:r>
              <w:rPr>
                <w:rFonts w:hint="eastAsia" w:ascii="Times New Roman" w:hAnsi="Times New Roman"/>
                <w:b w:val="0"/>
                <w:bCs/>
                <w:sz w:val="24"/>
                <w:szCs w:val="24"/>
                <w:lang w:val="en-US" w:eastAsia="zh-CN"/>
              </w:rPr>
              <w:t>.</w:t>
            </w:r>
            <w:r>
              <w:rPr>
                <w:rFonts w:hint="eastAsia" w:ascii="Times New Roman" w:hAnsi="宋体"/>
                <w:b w:val="0"/>
                <w:bCs/>
                <w:sz w:val="24"/>
                <w:szCs w:val="24"/>
              </w:rPr>
              <w:t>会分析捕捉美术创编的特点，初步掌握如何设计形象图形来表达文字。</w:t>
            </w:r>
          </w:p>
          <w:p w14:paraId="786A6E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b w:val="0"/>
                <w:bCs/>
                <w:sz w:val="24"/>
                <w:szCs w:val="24"/>
              </w:rPr>
            </w:pPr>
            <w:r>
              <w:rPr>
                <w:rFonts w:hint="default" w:ascii="Times New Roman" w:hAnsi="Times New Roman"/>
                <w:b w:val="0"/>
                <w:bCs/>
                <w:sz w:val="24"/>
                <w:szCs w:val="24"/>
              </w:rPr>
              <w:t>2</w:t>
            </w:r>
            <w:r>
              <w:rPr>
                <w:rFonts w:hint="eastAsia" w:ascii="Times New Roman" w:hAnsi="宋体"/>
                <w:b w:val="0"/>
                <w:bCs/>
                <w:sz w:val="24"/>
                <w:szCs w:val="24"/>
                <w:lang w:val="en-US" w:eastAsia="zh-CN"/>
              </w:rPr>
              <w:t>.</w:t>
            </w:r>
            <w:r>
              <w:rPr>
                <w:rFonts w:hint="eastAsia" w:ascii="Times New Roman" w:hAnsi="宋体"/>
                <w:b w:val="0"/>
                <w:bCs/>
                <w:sz w:val="24"/>
                <w:szCs w:val="24"/>
              </w:rPr>
              <w:t>能掌握美术创编方法和步骤，为以后教学活动设计图打好基础。</w:t>
            </w:r>
          </w:p>
          <w:p w14:paraId="63536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 w:val="0"/>
                <w:bCs/>
                <w:sz w:val="24"/>
                <w:szCs w:val="24"/>
              </w:rPr>
            </w:pPr>
            <w:r>
              <w:rPr>
                <w:rFonts w:hint="default" w:ascii="Times New Roman" w:hAnsi="宋体"/>
                <w:b w:val="0"/>
                <w:bCs/>
                <w:sz w:val="24"/>
                <w:szCs w:val="24"/>
              </w:rPr>
              <w:t>3</w:t>
            </w:r>
            <w:r>
              <w:rPr>
                <w:rFonts w:hint="eastAsia" w:ascii="Times New Roman" w:hAnsi="宋体"/>
                <w:b w:val="0"/>
                <w:bCs/>
                <w:sz w:val="24"/>
                <w:szCs w:val="24"/>
                <w:lang w:val="en-US" w:eastAsia="zh-CN"/>
              </w:rPr>
              <w:t>.</w:t>
            </w:r>
            <w:r>
              <w:rPr>
                <w:rFonts w:hint="default" w:ascii="Times New Roman" w:hAnsi="宋体"/>
                <w:b w:val="0"/>
                <w:bCs/>
                <w:sz w:val="24"/>
                <w:szCs w:val="24"/>
              </w:rPr>
              <w:t>用比较教育的方法，从学前教育和特殊教育双重视角中学习学前全纳教育管理。</w:t>
            </w:r>
          </w:p>
          <w:p w14:paraId="7FF464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 w:val="0"/>
                <w:bCs/>
                <w:sz w:val="24"/>
                <w:szCs w:val="24"/>
              </w:rPr>
            </w:pPr>
            <w:r>
              <w:rPr>
                <w:rFonts w:hint="default" w:ascii="Times New Roman" w:hAnsi="宋体"/>
                <w:b w:val="0"/>
                <w:bCs/>
                <w:sz w:val="24"/>
                <w:szCs w:val="24"/>
              </w:rPr>
              <w:t>4.掌握融合教育教师所必须具备的基本技能和方法。</w:t>
            </w:r>
          </w:p>
          <w:p w14:paraId="27B2CCC9">
            <w:pPr>
              <w:keepNext w:val="0"/>
              <w:keepLines w:val="0"/>
              <w:suppressLineNumbers w:val="0"/>
              <w:spacing w:before="0" w:beforeAutospacing="0" w:after="0" w:afterAutospacing="0" w:line="360" w:lineRule="auto"/>
              <w:ind w:left="0" w:right="0" w:hanging="8"/>
              <w:rPr>
                <w:rFonts w:hint="default" w:ascii="Times New Roman" w:hAnsi="Times New Roman"/>
                <w:b w:val="0"/>
                <w:bCs/>
                <w:color w:val="806000" w:themeColor="accent4" w:themeShade="80"/>
                <w:sz w:val="24"/>
                <w:szCs w:val="24"/>
              </w:rPr>
            </w:pPr>
            <w:r>
              <w:rPr>
                <w:rFonts w:hint="default" w:ascii="Times New Roman" w:hAnsi="Times New Roman"/>
                <w:b w:val="0"/>
                <w:bCs/>
                <w:color w:val="806000" w:themeColor="accent4" w:themeShade="80"/>
                <w:sz w:val="24"/>
                <w:szCs w:val="24"/>
              </w:rPr>
              <w:t>思政育人目标</w:t>
            </w:r>
            <w:r>
              <w:rPr>
                <w:rFonts w:hint="eastAsia" w:ascii="Times New Roman" w:hAnsi="Times New Roman"/>
                <w:b w:val="0"/>
                <w:bCs/>
                <w:color w:val="806000" w:themeColor="accent4" w:themeShade="80"/>
                <w:sz w:val="24"/>
                <w:szCs w:val="24"/>
              </w:rPr>
              <w:t>：</w:t>
            </w:r>
          </w:p>
          <w:p w14:paraId="13D32C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b w:val="0"/>
                <w:bCs/>
                <w:sz w:val="24"/>
                <w:szCs w:val="24"/>
              </w:rPr>
            </w:pPr>
            <w:r>
              <w:rPr>
                <w:rFonts w:hint="default" w:ascii="Times New Roman" w:hAnsi="Times New Roman"/>
                <w:b w:val="0"/>
                <w:bCs/>
                <w:sz w:val="24"/>
                <w:szCs w:val="24"/>
              </w:rPr>
              <w:t>树立正确的人生观和价值观，关爱特殊幼儿这个弱势群体。人生而平等．要充分体现教育的公平、公正，给特殊幼儿提供适合仁们的教育</w:t>
            </w:r>
          </w:p>
          <w:p w14:paraId="50D4B3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b w:val="0"/>
                <w:bCs/>
                <w:sz w:val="24"/>
                <w:szCs w:val="24"/>
              </w:rPr>
            </w:pPr>
            <w:r>
              <w:rPr>
                <w:rFonts w:hint="default" w:ascii="Times New Roman" w:hAnsi="Times New Roman"/>
                <w:b w:val="0"/>
                <w:bCs/>
                <w:sz w:val="24"/>
                <w:szCs w:val="24"/>
              </w:rPr>
              <w:t>关爱学前特殊儿童群体，最大限度发展、满足和适应融合教育背景下全纳教育特殊儿童身心发展的需要。</w:t>
            </w:r>
          </w:p>
        </w:tc>
      </w:tr>
      <w:tr w14:paraId="5E0225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269C74C">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教学重难点</w:t>
            </w:r>
          </w:p>
        </w:tc>
        <w:tc>
          <w:tcPr>
            <w:tcW w:w="9394" w:type="dxa"/>
            <w:gridSpan w:val="2"/>
            <w:tcBorders>
              <w:tl2br w:val="nil"/>
              <w:tr2bl w:val="nil"/>
            </w:tcBorders>
            <w:vAlign w:val="center"/>
          </w:tcPr>
          <w:p w14:paraId="19733114">
            <w:pPr>
              <w:keepNext w:val="0"/>
              <w:keepLines w:val="0"/>
              <w:suppressLineNumbers w:val="0"/>
              <w:spacing w:before="0" w:beforeAutospacing="0" w:after="0" w:afterAutospacing="0" w:line="360" w:lineRule="auto"/>
              <w:ind w:left="0" w:right="0" w:hanging="8"/>
              <w:rPr>
                <w:rFonts w:hint="default" w:ascii="Times New Roman" w:hAnsi="Times New Roman" w:eastAsia="宋体"/>
                <w:b w:val="0"/>
                <w:bCs/>
                <w:sz w:val="24"/>
                <w:szCs w:val="24"/>
                <w:lang w:eastAsia="zh-CN"/>
              </w:rPr>
            </w:pPr>
            <w:r>
              <w:rPr>
                <w:rFonts w:hint="eastAsia" w:ascii="Times New Roman" w:hAnsi="Times New Roman"/>
                <w:b w:val="0"/>
                <w:bCs/>
                <w:color w:val="806000" w:themeColor="accent4" w:themeShade="80"/>
                <w:sz w:val="24"/>
                <w:szCs w:val="24"/>
              </w:rPr>
              <w:t>教学重点：</w:t>
            </w:r>
            <w:r>
              <w:rPr>
                <w:rFonts w:hint="default" w:ascii="宋体" w:hAnsi="宋体" w:cs="宋体"/>
                <w:b w:val="0"/>
                <w:bCs/>
                <w:kern w:val="0"/>
                <w:sz w:val="24"/>
                <w:szCs w:val="24"/>
              </w:rPr>
              <w:t>明确全纳教育课程设置的内容及其特征。</w:t>
            </w:r>
          </w:p>
          <w:p w14:paraId="6882FE92">
            <w:pPr>
              <w:keepNext w:val="0"/>
              <w:keepLines w:val="0"/>
              <w:suppressLineNumbers w:val="0"/>
              <w:spacing w:before="0" w:beforeAutospacing="0" w:after="0" w:afterAutospacing="0" w:line="360" w:lineRule="auto"/>
              <w:ind w:left="0" w:right="0" w:hanging="8"/>
              <w:rPr>
                <w:rFonts w:hint="default" w:ascii="Times New Roman" w:hAnsi="Times New Roman"/>
                <w:b w:val="0"/>
                <w:bCs/>
                <w:sz w:val="24"/>
                <w:szCs w:val="24"/>
              </w:rPr>
            </w:pPr>
            <w:r>
              <w:rPr>
                <w:rFonts w:hint="eastAsia" w:ascii="Times New Roman" w:hAnsi="Times New Roman"/>
                <w:b w:val="0"/>
                <w:bCs/>
                <w:color w:val="806000" w:themeColor="accent4" w:themeShade="80"/>
                <w:sz w:val="24"/>
                <w:szCs w:val="24"/>
              </w:rPr>
              <w:t>教学难点：</w:t>
            </w:r>
            <w:r>
              <w:rPr>
                <w:rFonts w:hint="default" w:ascii="Times New Roman" w:hAnsi="Times New Roman"/>
                <w:b w:val="0"/>
                <w:bCs/>
                <w:color w:val="806000" w:themeColor="accent4" w:themeShade="80"/>
                <w:sz w:val="24"/>
                <w:szCs w:val="24"/>
              </w:rPr>
              <w:t xml:space="preserve"> </w:t>
            </w:r>
            <w:r>
              <w:rPr>
                <w:rFonts w:hint="default" w:ascii="Times New Roman" w:hAnsi="宋体"/>
                <w:b w:val="0"/>
                <w:bCs/>
                <w:sz w:val="24"/>
                <w:szCs w:val="24"/>
              </w:rPr>
              <w:t>掌握融合教育教师所必须具备的基本技能和方法</w:t>
            </w:r>
          </w:p>
        </w:tc>
      </w:tr>
      <w:tr w14:paraId="0AAFC39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5B145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教学方法</w:t>
            </w:r>
          </w:p>
        </w:tc>
        <w:tc>
          <w:tcPr>
            <w:tcW w:w="9394" w:type="dxa"/>
            <w:gridSpan w:val="2"/>
            <w:tcBorders>
              <w:tl2br w:val="nil"/>
              <w:tr2bl w:val="nil"/>
            </w:tcBorders>
            <w:vAlign w:val="center"/>
          </w:tcPr>
          <w:p w14:paraId="4808DDDC">
            <w:pPr>
              <w:keepNext w:val="0"/>
              <w:keepLines w:val="0"/>
              <w:suppressLineNumbers w:val="0"/>
              <w:spacing w:before="0" w:beforeAutospacing="0" w:after="0" w:afterAutospacing="0" w:line="360" w:lineRule="auto"/>
              <w:ind w:left="0" w:right="0"/>
              <w:rPr>
                <w:rFonts w:hint="default" w:ascii="Times New Roman" w:hAnsi="Times New Roman"/>
                <w:b w:val="0"/>
                <w:bCs/>
                <w:sz w:val="24"/>
                <w:szCs w:val="24"/>
              </w:rPr>
            </w:pPr>
            <w:r>
              <w:rPr>
                <w:rFonts w:hint="default" w:ascii="Times New Roman" w:hAnsi="Times New Roman"/>
                <w:b w:val="0"/>
                <w:bCs/>
                <w:sz w:val="24"/>
                <w:szCs w:val="24"/>
              </w:rPr>
              <w:t>讲授法、谈话法、讨论法、演示法、案例法</w:t>
            </w:r>
          </w:p>
        </w:tc>
      </w:tr>
      <w:tr w14:paraId="081632C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045826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教学用具</w:t>
            </w:r>
          </w:p>
        </w:tc>
        <w:tc>
          <w:tcPr>
            <w:tcW w:w="9394" w:type="dxa"/>
            <w:gridSpan w:val="2"/>
            <w:tcBorders>
              <w:tl2br w:val="nil"/>
              <w:tr2bl w:val="nil"/>
            </w:tcBorders>
            <w:vAlign w:val="center"/>
          </w:tcPr>
          <w:p w14:paraId="42604FAB">
            <w:pPr>
              <w:keepNext w:val="0"/>
              <w:keepLines w:val="0"/>
              <w:suppressLineNumbers w:val="0"/>
              <w:spacing w:before="0" w:beforeAutospacing="0" w:after="0" w:afterAutospacing="0" w:line="360" w:lineRule="auto"/>
              <w:ind w:left="0" w:right="0"/>
              <w:rPr>
                <w:rFonts w:hint="default" w:ascii="Times New Roman" w:hAnsi="Times New Roman"/>
                <w:b w:val="0"/>
                <w:bCs/>
                <w:sz w:val="24"/>
                <w:szCs w:val="24"/>
              </w:rPr>
            </w:pPr>
            <w:r>
              <w:rPr>
                <w:rFonts w:hint="default" w:ascii="Times New Roman" w:hAnsi="Times New Roman"/>
                <w:b w:val="0"/>
                <w:bCs/>
                <w:sz w:val="24"/>
                <w:szCs w:val="24"/>
              </w:rPr>
              <w:t>常规教学、多媒体、课件等</w:t>
            </w:r>
          </w:p>
        </w:tc>
      </w:tr>
      <w:tr w14:paraId="1935F75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A5AA6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教学设计</w:t>
            </w:r>
          </w:p>
        </w:tc>
        <w:tc>
          <w:tcPr>
            <w:tcW w:w="9394" w:type="dxa"/>
            <w:gridSpan w:val="2"/>
            <w:tcBorders>
              <w:tl2br w:val="nil"/>
              <w:tr2bl w:val="nil"/>
            </w:tcBorders>
            <w:vAlign w:val="center"/>
          </w:tcPr>
          <w:p w14:paraId="70F2A8BE">
            <w:pPr>
              <w:keepNext w:val="0"/>
              <w:keepLines w:val="0"/>
              <w:suppressLineNumbers w:val="0"/>
              <w:spacing w:before="0" w:beforeAutospacing="0" w:after="0" w:afterAutospacing="0" w:line="360" w:lineRule="auto"/>
              <w:ind w:left="0" w:right="0"/>
              <w:rPr>
                <w:rFonts w:hint="default" w:ascii="Times New Roman" w:hAnsi="宋体"/>
                <w:b w:val="0"/>
                <w:bCs/>
                <w:sz w:val="24"/>
                <w:szCs w:val="24"/>
              </w:rPr>
            </w:pPr>
            <w:r>
              <w:rPr>
                <w:rFonts w:hint="default" w:ascii="Times New Roman" w:hAnsi="宋体"/>
                <w:b w:val="0"/>
                <w:bCs/>
                <w:sz w:val="24"/>
                <w:szCs w:val="24"/>
              </w:rPr>
              <w:t>1.复习旧知识：学前教育科研工作管理的内容和实施途径。</w:t>
            </w:r>
          </w:p>
          <w:p w14:paraId="5B24AB66">
            <w:pPr>
              <w:keepNext w:val="0"/>
              <w:keepLines w:val="0"/>
              <w:numPr>
                <w:ilvl w:val="0"/>
                <w:numId w:val="0"/>
              </w:numPr>
              <w:suppressLineNumbers w:val="0"/>
              <w:spacing w:before="0" w:beforeAutospacing="0" w:after="0" w:afterAutospacing="0" w:line="360" w:lineRule="auto"/>
              <w:ind w:left="0" w:right="0" w:rightChars="0"/>
              <w:rPr>
                <w:rFonts w:hint="default" w:ascii="Times New Roman" w:hAnsi="宋体"/>
                <w:b w:val="0"/>
                <w:bCs/>
                <w:sz w:val="24"/>
                <w:szCs w:val="24"/>
              </w:rPr>
            </w:pPr>
            <w:r>
              <w:rPr>
                <w:rFonts w:hint="eastAsia" w:ascii="Times New Roman" w:hAnsi="宋体"/>
                <w:b w:val="0"/>
                <w:bCs/>
                <w:sz w:val="24"/>
                <w:szCs w:val="24"/>
                <w:lang w:val="en-US" w:eastAsia="zh-CN"/>
              </w:rPr>
              <w:t>2.</w:t>
            </w:r>
            <w:r>
              <w:rPr>
                <w:rFonts w:hint="default" w:ascii="Times New Roman" w:hAnsi="宋体"/>
                <w:b w:val="0"/>
                <w:bCs/>
                <w:sz w:val="24"/>
                <w:szCs w:val="24"/>
              </w:rPr>
              <w:t>导入新课：全纳教育的含义</w:t>
            </w:r>
          </w:p>
          <w:p w14:paraId="062E332D">
            <w:pPr>
              <w:keepNext w:val="0"/>
              <w:keepLines w:val="0"/>
              <w:numPr>
                <w:ilvl w:val="0"/>
                <w:numId w:val="0"/>
              </w:numPr>
              <w:suppressLineNumbers w:val="0"/>
              <w:spacing w:before="0" w:beforeAutospacing="0" w:after="0" w:afterAutospacing="0" w:line="360" w:lineRule="auto"/>
              <w:ind w:left="0" w:leftChars="0" w:right="0" w:rightChars="0"/>
              <w:rPr>
                <w:rFonts w:hint="default" w:ascii="Times New Roman" w:hAnsi="宋体"/>
                <w:b w:val="0"/>
                <w:bCs/>
                <w:sz w:val="24"/>
                <w:szCs w:val="24"/>
              </w:rPr>
            </w:pPr>
            <w:r>
              <w:rPr>
                <w:rFonts w:hint="eastAsia" w:ascii="Times New Roman" w:hAnsi="宋体"/>
                <w:b w:val="0"/>
                <w:bCs/>
                <w:sz w:val="24"/>
                <w:szCs w:val="24"/>
                <w:lang w:val="en-US" w:eastAsia="zh-CN"/>
              </w:rPr>
              <w:t>3.</w:t>
            </w:r>
            <w:r>
              <w:rPr>
                <w:rFonts w:hint="default" w:ascii="Times New Roman" w:hAnsi="宋体"/>
                <w:b w:val="0"/>
                <w:bCs/>
                <w:sz w:val="24"/>
                <w:szCs w:val="24"/>
              </w:rPr>
              <w:t>问题讨论、提问：全纳教育课程设置的内容及其特征</w:t>
            </w:r>
          </w:p>
          <w:p w14:paraId="3D1DAEAF">
            <w:pPr>
              <w:keepNext w:val="0"/>
              <w:keepLines w:val="0"/>
              <w:numPr>
                <w:ilvl w:val="0"/>
                <w:numId w:val="0"/>
              </w:numPr>
              <w:suppressLineNumbers w:val="0"/>
              <w:spacing w:before="0" w:beforeAutospacing="0" w:after="0" w:afterAutospacing="0" w:line="360" w:lineRule="auto"/>
              <w:ind w:left="0" w:leftChars="0" w:right="0" w:rightChars="0"/>
              <w:rPr>
                <w:rFonts w:hint="default" w:ascii="Times New Roman" w:hAnsi="宋体"/>
                <w:b w:val="0"/>
                <w:bCs/>
                <w:sz w:val="24"/>
                <w:szCs w:val="24"/>
              </w:rPr>
            </w:pPr>
            <w:r>
              <w:rPr>
                <w:rFonts w:hint="default" w:ascii="Times New Roman" w:hAnsi="宋体"/>
                <w:b w:val="0"/>
                <w:bCs/>
                <w:sz w:val="24"/>
                <w:szCs w:val="24"/>
              </w:rPr>
              <w:t>4.教师总结</w:t>
            </w:r>
          </w:p>
        </w:tc>
      </w:tr>
      <w:tr w14:paraId="233A22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48D40FB9">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val="0"/>
                <w:bCs/>
                <w:color w:val="FFFFFF" w:themeColor="background1"/>
                <w:sz w:val="28"/>
                <w:szCs w:val="28"/>
                <w14:textFill>
                  <w14:solidFill>
                    <w14:schemeClr w14:val="bg1"/>
                  </w14:solidFill>
                </w14:textFill>
              </w:rPr>
            </w:pPr>
            <w:r>
              <w:rPr>
                <w:rFonts w:hint="eastAsia" w:ascii="宋体" w:hAnsi="宋体" w:eastAsia="宋体" w:cs="宋体"/>
                <w:b w:val="0"/>
                <w:bCs/>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0159C909">
            <w:pPr>
              <w:keepNext w:val="0"/>
              <w:keepLines w:val="0"/>
              <w:suppressLineNumbers w:val="0"/>
              <w:spacing w:before="0" w:beforeAutospacing="0" w:after="0" w:afterAutospacing="0" w:line="264" w:lineRule="auto"/>
              <w:ind w:left="0" w:right="0"/>
              <w:jc w:val="center"/>
              <w:rPr>
                <w:rFonts w:hint="default" w:ascii="Times New Roman" w:hAnsi="Times New Roman"/>
                <w:b w:val="0"/>
                <w:bCs/>
                <w:color w:val="FFFFFF" w:themeColor="background1"/>
                <w:sz w:val="28"/>
                <w:szCs w:val="28"/>
                <w14:textFill>
                  <w14:solidFill>
                    <w14:schemeClr w14:val="bg1"/>
                  </w14:solidFill>
                </w14:textFill>
              </w:rPr>
            </w:pPr>
            <w:r>
              <w:rPr>
                <w:rFonts w:hint="eastAsia" w:ascii="Times New Roman" w:hAnsi="Times New Roman"/>
                <w:b w:val="0"/>
                <w:bCs/>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328CDAF4">
            <w:pPr>
              <w:keepNext w:val="0"/>
              <w:keepLines w:val="0"/>
              <w:suppressLineNumbers w:val="0"/>
              <w:spacing w:before="0" w:beforeAutospacing="0" w:after="0" w:afterAutospacing="0" w:line="264" w:lineRule="auto"/>
              <w:ind w:left="0" w:right="0"/>
              <w:jc w:val="center"/>
              <w:rPr>
                <w:rFonts w:hint="default" w:ascii="Times New Roman" w:hAnsi="Times New Roman"/>
                <w:b w:val="0"/>
                <w:bCs/>
                <w:color w:val="FFFFFF" w:themeColor="background1"/>
                <w:sz w:val="28"/>
                <w:szCs w:val="28"/>
                <w14:textFill>
                  <w14:solidFill>
                    <w14:schemeClr w14:val="bg1"/>
                  </w14:solidFill>
                </w14:textFill>
              </w:rPr>
            </w:pPr>
            <w:r>
              <w:rPr>
                <w:rFonts w:hint="default" w:ascii="Times New Roman" w:hAnsi="Times New Roman"/>
                <w:b w:val="0"/>
                <w:bCs/>
                <w:color w:val="FFFFFF" w:themeColor="background1"/>
                <w:sz w:val="28"/>
                <w:szCs w:val="28"/>
                <w14:textFill>
                  <w14:solidFill>
                    <w14:schemeClr w14:val="bg1"/>
                  </w14:solidFill>
                </w14:textFill>
              </w:rPr>
              <w:t>设计意图</w:t>
            </w:r>
          </w:p>
        </w:tc>
      </w:tr>
      <w:tr w14:paraId="74A1789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C490F58">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lang w:eastAsia="zh-CN"/>
              </w:rPr>
            </w:pPr>
            <w:r>
              <w:rPr>
                <w:rFonts w:hint="eastAsia" w:ascii="宋体" w:hAnsi="宋体" w:eastAsia="宋体" w:cs="宋体"/>
                <w:b w:val="0"/>
                <w:bCs/>
                <w:color w:val="806000" w:themeColor="accent4" w:themeShade="80"/>
                <w:sz w:val="28"/>
                <w:szCs w:val="28"/>
                <w:lang w:eastAsia="zh-CN"/>
              </w:rPr>
              <w:t>考勤</w:t>
            </w:r>
          </w:p>
          <w:p w14:paraId="0C1A42E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lang w:eastAsia="zh-CN"/>
              </w:rPr>
            </w:pPr>
            <w:r>
              <w:rPr>
                <w:rFonts w:hint="eastAsia" w:ascii="宋体" w:hAnsi="宋体" w:eastAsia="宋体" w:cs="宋体"/>
                <w:b w:val="0"/>
                <w:bCs/>
                <w:color w:val="806000" w:themeColor="accent4" w:themeShade="80"/>
                <w:sz w:val="28"/>
                <w:szCs w:val="28"/>
                <w:lang w:eastAsia="zh-CN"/>
              </w:rPr>
              <w:t>（</w:t>
            </w:r>
            <w:r>
              <w:rPr>
                <w:rFonts w:hint="eastAsia" w:ascii="宋体" w:hAnsi="宋体" w:eastAsia="宋体" w:cs="宋体"/>
                <w:b w:val="0"/>
                <w:bCs/>
                <w:color w:val="806000" w:themeColor="accent4" w:themeShade="80"/>
                <w:sz w:val="28"/>
                <w:szCs w:val="28"/>
                <w:lang w:val="en-US" w:eastAsia="zh-CN"/>
              </w:rPr>
              <w:t>2min</w:t>
            </w:r>
            <w:r>
              <w:rPr>
                <w:rFonts w:hint="eastAsia" w:ascii="宋体" w:hAnsi="宋体" w:eastAsia="宋体" w:cs="宋体"/>
                <w:b w:val="0"/>
                <w:bCs/>
                <w:color w:val="806000" w:themeColor="accent4" w:themeShade="80"/>
                <w:sz w:val="28"/>
                <w:szCs w:val="28"/>
                <w:lang w:eastAsia="zh-CN"/>
              </w:rPr>
              <w:t>）</w:t>
            </w:r>
          </w:p>
        </w:tc>
        <w:tc>
          <w:tcPr>
            <w:tcW w:w="7479" w:type="dxa"/>
            <w:tcBorders>
              <w:tl2br w:val="nil"/>
              <w:tr2bl w:val="nil"/>
            </w:tcBorders>
            <w:vAlign w:val="center"/>
          </w:tcPr>
          <w:p w14:paraId="196790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b w:val="0"/>
                <w:bCs/>
                <w:color w:val="C00000"/>
                <w:sz w:val="24"/>
                <w:szCs w:val="24"/>
              </w:rPr>
            </w:pPr>
            <w:r>
              <w:rPr>
                <w:rFonts w:hint="eastAsia" w:ascii="Times New Roman" w:hAnsi="Times New Roman"/>
                <w:b w:val="0"/>
                <w:bCs/>
                <w:color w:val="C00000"/>
                <w:sz w:val="24"/>
                <w:szCs w:val="24"/>
              </w:rPr>
              <w:t>■</w:t>
            </w:r>
            <w:r>
              <w:rPr>
                <w:rFonts w:hint="eastAsia" w:ascii="Times New Roman" w:hAnsi="Times New Roman"/>
                <w:b w:val="0"/>
                <w:bCs/>
                <w:color w:val="C00000"/>
                <w:sz w:val="24"/>
                <w:szCs w:val="24"/>
                <w:lang w:eastAsia="zh-CN"/>
              </w:rPr>
              <w:t>【教师】</w:t>
            </w:r>
            <w:r>
              <w:rPr>
                <w:rFonts w:hint="eastAsia" w:ascii="Times New Roman" w:hAnsi="Times New Roman"/>
                <w:b w:val="0"/>
                <w:bCs/>
                <w:color w:val="C00000"/>
                <w:sz w:val="24"/>
                <w:szCs w:val="24"/>
              </w:rPr>
              <w:t>清点上课人数，记录好考勤</w:t>
            </w:r>
          </w:p>
          <w:p w14:paraId="61309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b w:val="0"/>
                <w:bCs/>
                <w:sz w:val="24"/>
                <w:szCs w:val="24"/>
              </w:rPr>
            </w:pPr>
            <w:r>
              <w:rPr>
                <w:rFonts w:hint="eastAsia" w:ascii="Times New Roman" w:hAnsi="Times New Roman"/>
                <w:b w:val="0"/>
                <w:bCs/>
                <w:color w:val="548235" w:themeColor="accent6" w:themeShade="BF"/>
                <w:sz w:val="24"/>
                <w:szCs w:val="24"/>
              </w:rPr>
              <w:t>■</w:t>
            </w:r>
            <w:r>
              <w:rPr>
                <w:rFonts w:hint="eastAsia" w:ascii="Times New Roman" w:hAnsi="Times New Roman"/>
                <w:b w:val="0"/>
                <w:bCs/>
                <w:color w:val="548235" w:themeColor="accent6" w:themeShade="BF"/>
                <w:sz w:val="24"/>
                <w:szCs w:val="24"/>
                <w:lang w:eastAsia="zh-CN"/>
              </w:rPr>
              <w:t>【学生】</w:t>
            </w:r>
            <w:r>
              <w:rPr>
                <w:rFonts w:hint="eastAsia" w:ascii="Times New Roman" w:hAnsi="Times New Roman"/>
                <w:b w:val="0"/>
                <w:bCs/>
                <w:color w:val="548235" w:themeColor="accent6" w:themeShade="BF"/>
                <w:sz w:val="24"/>
                <w:szCs w:val="24"/>
              </w:rPr>
              <w:t>班干部报请假人员及原因</w:t>
            </w:r>
          </w:p>
        </w:tc>
        <w:tc>
          <w:tcPr>
            <w:tcW w:w="1915" w:type="dxa"/>
            <w:tcBorders>
              <w:tl2br w:val="nil"/>
              <w:tr2bl w:val="nil"/>
            </w:tcBorders>
            <w:vAlign w:val="center"/>
          </w:tcPr>
          <w:p w14:paraId="156EC14F">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培养学生的组织纪律性,掌握学生的出勤情况</w:t>
            </w:r>
          </w:p>
        </w:tc>
      </w:tr>
      <w:tr w14:paraId="64ED5D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E985291">
            <w:pPr>
              <w:keepNext w:val="0"/>
              <w:keepLines w:val="0"/>
              <w:suppressLineNumbers w:val="0"/>
              <w:spacing w:before="0" w:beforeAutospacing="0" w:after="0" w:afterAutospacing="0" w:line="240" w:lineRule="auto"/>
              <w:ind w:left="0" w:right="0"/>
              <w:jc w:val="center"/>
              <w:rPr>
                <w:rFonts w:hint="eastAsia" w:ascii="宋体" w:hAnsi="宋体" w:eastAsia="宋体" w:cs="宋体"/>
                <w:b w:val="0"/>
                <w:bCs/>
                <w:color w:val="806000" w:themeColor="accent4" w:themeShade="80"/>
                <w:sz w:val="28"/>
                <w:szCs w:val="28"/>
                <w:lang w:eastAsia="zh-CN"/>
              </w:rPr>
            </w:pPr>
            <w:r>
              <w:rPr>
                <w:rFonts w:hint="eastAsia" w:ascii="宋体" w:hAnsi="宋体" w:eastAsia="宋体" w:cs="宋体"/>
                <w:b w:val="0"/>
                <w:bCs/>
                <w:color w:val="806000" w:themeColor="accent4" w:themeShade="80"/>
                <w:sz w:val="28"/>
                <w:szCs w:val="28"/>
                <w:lang w:eastAsia="zh-CN"/>
              </w:rPr>
              <w:t>知识讲解</w:t>
            </w:r>
          </w:p>
          <w:p w14:paraId="3DC697A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w:t>
            </w:r>
            <w:r>
              <w:rPr>
                <w:rFonts w:hint="eastAsia" w:ascii="宋体" w:hAnsi="宋体" w:eastAsia="宋体" w:cs="宋体"/>
                <w:b w:val="0"/>
                <w:bCs/>
                <w:color w:val="806000" w:themeColor="accent4" w:themeShade="80"/>
                <w:sz w:val="28"/>
                <w:szCs w:val="28"/>
                <w:lang w:val="en-US" w:eastAsia="zh-CN"/>
              </w:rPr>
              <w:t>40</w:t>
            </w:r>
            <w:r>
              <w:rPr>
                <w:rFonts w:hint="eastAsia" w:ascii="宋体" w:hAnsi="宋体" w:eastAsia="宋体" w:cs="宋体"/>
                <w:b w:val="0"/>
                <w:bCs/>
                <w:color w:val="806000" w:themeColor="accent4" w:themeShade="80"/>
                <w:sz w:val="28"/>
                <w:szCs w:val="28"/>
              </w:rPr>
              <w:t>min）</w:t>
            </w:r>
          </w:p>
        </w:tc>
        <w:tc>
          <w:tcPr>
            <w:tcW w:w="7479" w:type="dxa"/>
            <w:tcBorders>
              <w:tl2br w:val="nil"/>
              <w:tr2bl w:val="nil"/>
            </w:tcBorders>
            <w:vAlign w:val="center"/>
          </w:tcPr>
          <w:p w14:paraId="577AC89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val="0"/>
                <w:bCs/>
                <w:color w:val="C00000"/>
                <w:sz w:val="24"/>
                <w:szCs w:val="24"/>
              </w:rPr>
              <w:t>【教师】</w:t>
            </w:r>
            <w:r>
              <w:rPr>
                <w:rFonts w:hint="eastAsia" w:ascii="宋体" w:hAnsi="宋体" w:eastAsia="宋体" w:cs="宋体"/>
                <w:b w:val="0"/>
                <w:bCs/>
                <w:color w:val="C00000"/>
                <w:kern w:val="2"/>
                <w:sz w:val="24"/>
                <w:szCs w:val="24"/>
                <w:lang w:val="en-US" w:eastAsia="zh-CN" w:bidi="ar"/>
              </w:rPr>
              <w:t>展示创编画的特点、重点及类型（</w:t>
            </w:r>
            <w:r>
              <w:rPr>
                <w:rFonts w:hint="eastAsia" w:ascii="Times New Roman" w:hAnsi="Times New Roman"/>
                <w:b w:val="0"/>
                <w:bCs/>
                <w:color w:val="C00000"/>
                <w:sz w:val="24"/>
                <w:szCs w:val="24"/>
                <w:lang w:val="en-US" w:eastAsia="zh-CN"/>
              </w:rPr>
              <w:t>一）</w:t>
            </w:r>
          </w:p>
          <w:p w14:paraId="092084D1">
            <w:pPr>
              <w:keepNext w:val="0"/>
              <w:keepLines w:val="0"/>
              <w:widowControl w:val="0"/>
              <w:numPr>
                <w:ilvl w:val="0"/>
                <w:numId w:val="1"/>
              </w:numPr>
              <w:suppressLineNumbers w:val="0"/>
              <w:autoSpaceDE w:val="0"/>
              <w:autoSpaceDN/>
              <w:spacing w:before="0" w:beforeAutospacing="0" w:after="0" w:afterAutospacing="0" w:line="360" w:lineRule="auto"/>
              <w:ind w:left="0" w:right="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全纳教育的概述</w:t>
            </w:r>
          </w:p>
          <w:p w14:paraId="0087204F">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全纳教育作为一种教育思潮，兴起于20世纪90年代，它是在国际教育民主化的潮流中，特别是在国际组织的大力推动下兴起和发展的。一、全纳教育的定义</w:t>
            </w:r>
          </w:p>
          <w:p w14:paraId="40A74777">
            <w:pPr>
              <w:keepNext w:val="0"/>
              <w:keepLines w:val="0"/>
              <w:widowControl w:val="0"/>
              <w:numPr>
                <w:ilvl w:val="0"/>
                <w:numId w:val="0"/>
              </w:numPr>
              <w:suppressLineNumbers w:val="0"/>
              <w:autoSpaceDE w:val="0"/>
              <w:autoSpaceDN/>
              <w:spacing w:before="0" w:beforeAutospacing="0" w:after="0" w:afterAutospacing="0" w:line="360" w:lineRule="auto"/>
              <w:ind w:left="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思想明确提出后成为特殊教育领域讨论的焦点。国内外全纳教育的出版物也已不少，但是无论是国内还是国外由于传统教育思想的根深蒂固人们对全纳教育依然有着不同的看法，对全纳教育的概念还没有一个统一的界定，而且这些定义分别从不同的角度来界定，有些是可以相互补充的，有些却是大相径庭。</w:t>
            </w:r>
          </w:p>
          <w:p w14:paraId="2DE03771">
            <w:pPr>
              <w:keepNext w:val="0"/>
              <w:keepLines w:val="0"/>
              <w:widowControl w:val="0"/>
              <w:numPr>
                <w:ilvl w:val="0"/>
                <w:numId w:val="2"/>
              </w:numPr>
              <w:suppressLineNumbers w:val="0"/>
              <w:autoSpaceDE w:val="0"/>
              <w:autoSpaceDN/>
              <w:spacing w:before="0" w:beforeAutospacing="0" w:after="0" w:afterAutospacing="0" w:line="360" w:lineRule="auto"/>
              <w:ind w:left="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贝利(Bailey)的定义澳大利亚学者贝利认为:全纳是指残疾学生和其他学生一起在普通学校中，在同样的时间和同样的斑级内学习同样的课程，使所有学生融合在一起，让他们感觉与其他的学生没有差异。这个定义包括两个要点:一是社会和学校接纳所有的学生，二是将残疾学生安置在普通学校中，接受同样的教育，做同样的事。</w:t>
            </w:r>
          </w:p>
          <w:p w14:paraId="0A595D61">
            <w:pPr>
              <w:keepNext w:val="0"/>
              <w:keepLines w:val="0"/>
              <w:widowControl w:val="0"/>
              <w:numPr>
                <w:ilvl w:val="0"/>
                <w:numId w:val="2"/>
              </w:numPr>
              <w:suppressLineNumbers w:val="0"/>
              <w:autoSpaceDE w:val="0"/>
              <w:autoSpaceDN/>
              <w:spacing w:before="0" w:beforeAutospacing="0" w:after="0" w:afterAutospacing="0" w:line="360" w:lineRule="auto"/>
              <w:ind w:left="0" w:leftChars="0" w:right="0" w:rightChars="0" w:firstLine="0" w:firstLine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 xml:space="preserve">布思(Booth)的定义英国著名全纳教育专家托尼.布思认为，全纳教育是一个过程，是促进学生参与就近学校的文化、课程、社区活动和减少学生的被排斥的过程.在布什看来，全纳教育的研究不仅仅是特殊教育，而是远远超出了特殊教育的范畴。要促进“所有”儿童的参与，而不仅仅是残疾儿童，全纳教育的思想是要进行普通教育的全面改革。他将“全纳”和“排斥”联系在一起进行研究，使全纳超出了特殊教育的范畴，涉及到整个普通教育。他将一些人仍然选择特殊学校而不是普通学校归结为普通教育的问题，认为“特殊学校的未来取决于普通学校是否能有效地满足学生的不同需求。 </w:t>
            </w:r>
          </w:p>
          <w:p w14:paraId="0C19EE8A">
            <w:pPr>
              <w:keepNext w:val="0"/>
              <w:keepLines w:val="0"/>
              <w:widowControl w:val="0"/>
              <w:numPr>
                <w:ilvl w:val="0"/>
                <w:numId w:val="3"/>
              </w:numPr>
              <w:suppressLineNumbers w:val="0"/>
              <w:autoSpaceDE w:val="0"/>
              <w:autoSpaceDN/>
              <w:spacing w:before="0" w:beforeAutospacing="0" w:after="0" w:afterAutospacing="0" w:line="360" w:lineRule="auto"/>
              <w:ind w:left="0" w:leftChars="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汤姆林森（Tomlinson）的定义英国牛津大学的学者在全纳教育研究方面颇有声誉的汤姆林森Tomlinson认为全纳教育意味着教育体系是全纳的但学生不一定非要在一个一体化的环境内全纳学习概念不完全与学生完全统合到主流中相一致。因此，全纳教育的定义可以简单概括为:全纳教育是一种强调容纳所有学生、反对歧视排斥、促进学生积极参与、注重学生集体合作、满足不同学生需求的新教育观。从以上定义来看，全纳教育应是满足所有儿童需要的教育，无论其身体、智力、社会、情绪和语言或其他情况如何，也无论其民族、性别、年龄、种族、国家、是否有障碍、语言和社会经济地位如何以及处境不利或弱势、边缘群体儿童。</w:t>
            </w:r>
          </w:p>
          <w:p w14:paraId="4DCFD449">
            <w:pPr>
              <w:keepNext w:val="0"/>
              <w:keepLines w:val="0"/>
              <w:widowControl w:val="0"/>
              <w:numPr>
                <w:ilvl w:val="0"/>
                <w:numId w:val="4"/>
              </w:numPr>
              <w:suppressLineNumbers w:val="0"/>
              <w:autoSpaceDE w:val="0"/>
              <w:autoSpaceDN/>
              <w:spacing w:before="0" w:beforeAutospacing="0" w:after="0" w:afterAutospacing="0" w:line="360" w:lineRule="auto"/>
              <w:ind w:left="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全纳教育理论基础</w:t>
            </w:r>
          </w:p>
          <w:p w14:paraId="77EB58A0">
            <w:pPr>
              <w:keepNext w:val="0"/>
              <w:keepLines w:val="0"/>
              <w:widowControl w:val="0"/>
              <w:numPr>
                <w:ilvl w:val="0"/>
                <w:numId w:val="5"/>
              </w:numPr>
              <w:suppressLineNumbers w:val="0"/>
              <w:autoSpaceDE w:val="0"/>
              <w:autoSpaceDN/>
              <w:spacing w:before="0" w:beforeAutospacing="0" w:after="0" w:afterAutospacing="0" w:line="360" w:lineRule="auto"/>
              <w:ind w:left="0" w:right="0" w:right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全纳教育的社会学基础</w:t>
            </w:r>
          </w:p>
          <w:p w14:paraId="6CFC9EF3">
            <w:pPr>
              <w:keepNext w:val="0"/>
              <w:keepLines w:val="0"/>
              <w:widowControl w:val="0"/>
              <w:numPr>
                <w:ilvl w:val="0"/>
                <w:numId w:val="5"/>
              </w:numPr>
              <w:suppressLineNumbers w:val="0"/>
              <w:autoSpaceDE w:val="0"/>
              <w:autoSpaceDN/>
              <w:spacing w:before="0" w:beforeAutospacing="0" w:after="0" w:afterAutospacing="0" w:line="360" w:lineRule="auto"/>
              <w:ind w:left="0" w:leftChars="0" w:right="0" w:rightChars="0" w:firstLine="0" w:firstLine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全纳教育的心理学基础</w:t>
            </w:r>
          </w:p>
          <w:p w14:paraId="2FB79EF4">
            <w:pPr>
              <w:keepNext w:val="0"/>
              <w:keepLines w:val="0"/>
              <w:widowControl w:val="0"/>
              <w:numPr>
                <w:ilvl w:val="0"/>
                <w:numId w:val="4"/>
              </w:numPr>
              <w:suppressLineNumbers w:val="0"/>
              <w:autoSpaceDE w:val="0"/>
              <w:autoSpaceDN/>
              <w:spacing w:before="0" w:beforeAutospacing="0" w:after="0" w:afterAutospacing="0" w:line="360" w:lineRule="auto"/>
              <w:ind w:left="0" w:leftChars="0" w:right="0" w:rightChars="0" w:firstLine="0" w:firstLineChars="0"/>
              <w:jc w:val="left"/>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全纳教育的意义</w:t>
            </w:r>
          </w:p>
          <w:p w14:paraId="584698BF">
            <w:pPr>
              <w:keepNext w:val="0"/>
              <w:keepLines w:val="0"/>
              <w:widowControl w:val="0"/>
              <w:numPr>
                <w:ilvl w:val="0"/>
                <w:numId w:val="0"/>
              </w:numPr>
              <w:suppressLineNumbers w:val="0"/>
              <w:autoSpaceDE w:val="0"/>
              <w:autoSpaceDN/>
              <w:spacing w:before="0" w:beforeAutospacing="0" w:after="0" w:afterAutospacing="0" w:line="360" w:lineRule="auto"/>
              <w:ind w:left="0" w:leftChars="0" w:right="0" w:rightChars="0"/>
              <w:jc w:val="left"/>
              <w:rPr>
                <w:rFonts w:hint="default" w:ascii="Times New Roman" w:hAnsi="Times New Roman"/>
                <w:b w:val="0"/>
                <w:bCs/>
                <w:sz w:val="24"/>
                <w:szCs w:val="24"/>
              </w:rPr>
            </w:pPr>
            <w:r>
              <w:rPr>
                <w:rFonts w:hint="default" w:ascii="宋体" w:hAnsi="宋体" w:cs="宋体"/>
                <w:b w:val="0"/>
                <w:bCs/>
                <w:color w:val="auto"/>
                <w:kern w:val="2"/>
                <w:sz w:val="24"/>
                <w:szCs w:val="24"/>
                <w:lang w:eastAsia="zh-CN" w:bidi="ar"/>
              </w:rPr>
              <w:t>全纳教育是国际教育的发展方向，它不仅仅是为了让正常的儿童和有特殊需要的儿童拥有均等的教育机会以及改变特殊需要儿童被隔离、标签的状况，它要实现的远不止如此。它的最终目标是:让所有受教育者离开学校之后能够在主流社会中享有同样的权利、尊严、机遇，平等且正常的生存与发展。全纳教育认为:所有学生都有权在一起学习，孩子们不应该由于残疾或学习困难而被排斥或遭到贬低、歧视。所有的学生都需要一种教育来发展完整的关系网络，为在主流社会中生活做准备。</w:t>
            </w:r>
          </w:p>
        </w:tc>
        <w:tc>
          <w:tcPr>
            <w:tcW w:w="1915" w:type="dxa"/>
            <w:tcBorders>
              <w:tl2br w:val="nil"/>
              <w:tr2bl w:val="nil"/>
            </w:tcBorders>
            <w:vAlign w:val="center"/>
          </w:tcPr>
          <w:p w14:paraId="1044B03A">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default" w:ascii="Times New Roman" w:hAnsi="Times New Roman"/>
                <w:b w:val="0"/>
                <w:bCs/>
                <w:sz w:val="24"/>
                <w:szCs w:val="24"/>
              </w:rPr>
              <w:t>介绍全纳教育的定义，两个理论基础及意义。</w:t>
            </w:r>
          </w:p>
        </w:tc>
      </w:tr>
      <w:tr w14:paraId="5DF499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1202D1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lang w:eastAsia="zh-CN"/>
              </w:rPr>
              <w:t>作业布置</w:t>
            </w:r>
            <w:r>
              <w:rPr>
                <w:rFonts w:hint="eastAsia" w:ascii="宋体" w:hAnsi="宋体" w:eastAsia="宋体" w:cs="宋体"/>
                <w:b w:val="0"/>
                <w:bCs/>
                <w:color w:val="806000" w:themeColor="accent4" w:themeShade="80"/>
                <w:sz w:val="28"/>
                <w:szCs w:val="28"/>
              </w:rPr>
              <w:t>（</w:t>
            </w:r>
            <w:r>
              <w:rPr>
                <w:rFonts w:hint="eastAsia" w:ascii="宋体" w:hAnsi="宋体" w:eastAsia="宋体" w:cs="宋体"/>
                <w:b w:val="0"/>
                <w:bCs/>
                <w:color w:val="806000" w:themeColor="accent4" w:themeShade="80"/>
                <w:sz w:val="28"/>
                <w:szCs w:val="28"/>
                <w:lang w:val="en-US" w:eastAsia="zh-CN"/>
              </w:rPr>
              <w:t>3</w:t>
            </w:r>
            <w:r>
              <w:rPr>
                <w:rFonts w:hint="eastAsia" w:ascii="宋体" w:hAnsi="宋体" w:eastAsia="宋体" w:cs="宋体"/>
                <w:b w:val="0"/>
                <w:bCs/>
                <w:color w:val="806000" w:themeColor="accent4" w:themeShade="80"/>
                <w:sz w:val="28"/>
                <w:szCs w:val="28"/>
              </w:rPr>
              <w:t>min）</w:t>
            </w:r>
          </w:p>
        </w:tc>
        <w:tc>
          <w:tcPr>
            <w:tcW w:w="7479" w:type="dxa"/>
            <w:tcBorders>
              <w:tl2br w:val="nil"/>
              <w:tr2bl w:val="nil"/>
            </w:tcBorders>
            <w:vAlign w:val="center"/>
          </w:tcPr>
          <w:p w14:paraId="155DA0B3">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val="0"/>
                <w:bCs/>
                <w:color w:val="C00000"/>
                <w:kern w:val="2"/>
                <w:sz w:val="24"/>
                <w:szCs w:val="24"/>
                <w:lang w:val="en-US" w:eastAsia="zh-CN" w:bidi="ar"/>
              </w:rPr>
              <w:t>【教师】布置课后作业</w:t>
            </w:r>
          </w:p>
          <w:p w14:paraId="475E1300">
            <w:pPr>
              <w:keepNext w:val="0"/>
              <w:keepLines w:val="0"/>
              <w:numPr>
                <w:ilvl w:val="0"/>
                <w:numId w:val="0"/>
              </w:numPr>
              <w:suppressLineNumbers w:val="0"/>
              <w:spacing w:before="0" w:beforeAutospacing="0" w:after="0" w:afterAutospacing="0" w:line="360" w:lineRule="auto"/>
              <w:ind w:left="0" w:right="0" w:rightChars="0" w:firstLine="480" w:firstLineChars="200"/>
              <w:rPr>
                <w:rFonts w:hint="default" w:hAnsi="宋体"/>
                <w:b w:val="0"/>
                <w:bCs/>
                <w:sz w:val="24"/>
                <w:szCs w:val="24"/>
                <w:lang w:eastAsia="zh-CN"/>
              </w:rPr>
            </w:pPr>
            <w:r>
              <w:rPr>
                <w:rFonts w:hint="eastAsia" w:hAnsi="宋体"/>
                <w:b w:val="0"/>
                <w:bCs/>
                <w:sz w:val="24"/>
                <w:szCs w:val="24"/>
                <w:lang w:val="en-US" w:eastAsia="zh-CN"/>
              </w:rPr>
              <w:t>1.</w:t>
            </w:r>
            <w:r>
              <w:rPr>
                <w:rFonts w:hint="default" w:hAnsi="宋体"/>
                <w:b w:val="0"/>
                <w:bCs/>
                <w:sz w:val="24"/>
                <w:szCs w:val="24"/>
                <w:lang w:eastAsia="zh-CN"/>
              </w:rPr>
              <w:t>说明全纳教育的含义及其理论基础？</w:t>
            </w:r>
          </w:p>
          <w:p w14:paraId="1C338CF3">
            <w:pPr>
              <w:keepNext w:val="0"/>
              <w:keepLines w:val="0"/>
              <w:numPr>
                <w:ilvl w:val="0"/>
                <w:numId w:val="0"/>
              </w:numPr>
              <w:suppressLineNumbers w:val="0"/>
              <w:spacing w:before="0" w:beforeAutospacing="0" w:after="0" w:afterAutospacing="0" w:line="360" w:lineRule="auto"/>
              <w:ind w:left="0" w:right="0" w:rightChars="0" w:firstLine="480" w:firstLineChars="200"/>
              <w:rPr>
                <w:rFonts w:hint="default" w:hAnsi="宋体" w:eastAsia="宋体"/>
                <w:b w:val="0"/>
                <w:bCs/>
                <w:sz w:val="24"/>
                <w:szCs w:val="24"/>
                <w:lang w:eastAsia="zh-CN"/>
              </w:rPr>
            </w:pPr>
            <w:r>
              <w:rPr>
                <w:rFonts w:hint="default" w:hAnsi="宋体"/>
                <w:b w:val="0"/>
                <w:bCs/>
                <w:sz w:val="24"/>
                <w:szCs w:val="24"/>
                <w:lang w:eastAsia="zh-CN"/>
              </w:rPr>
              <w:t>2.阐述实施全纳教育的意义？</w:t>
            </w:r>
          </w:p>
        </w:tc>
        <w:tc>
          <w:tcPr>
            <w:tcW w:w="1915" w:type="dxa"/>
            <w:tcBorders>
              <w:tl2br w:val="nil"/>
              <w:tr2bl w:val="nil"/>
            </w:tcBorders>
            <w:vAlign w:val="center"/>
          </w:tcPr>
          <w:p w14:paraId="3671516F">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6246D29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CAADDA7">
            <w:pPr>
              <w:keepNext w:val="0"/>
              <w:keepLines w:val="0"/>
              <w:suppressLineNumbers w:val="0"/>
              <w:spacing w:before="0" w:beforeAutospacing="0" w:after="0" w:afterAutospacing="0" w:line="240" w:lineRule="auto"/>
              <w:ind w:left="0" w:right="0"/>
              <w:jc w:val="center"/>
              <w:rPr>
                <w:rFonts w:hint="eastAsia" w:ascii="宋体" w:hAnsi="宋体" w:eastAsia="宋体" w:cs="宋体"/>
                <w:b w:val="0"/>
                <w:bCs/>
                <w:color w:val="806000" w:themeColor="accent4" w:themeShade="80"/>
                <w:sz w:val="28"/>
                <w:szCs w:val="28"/>
                <w:lang w:eastAsia="zh-CN"/>
              </w:rPr>
            </w:pPr>
            <w:r>
              <w:rPr>
                <w:rFonts w:hint="eastAsia" w:ascii="宋体" w:hAnsi="宋体" w:eastAsia="宋体" w:cs="宋体"/>
                <w:b w:val="0"/>
                <w:bCs/>
                <w:color w:val="806000" w:themeColor="accent4" w:themeShade="80"/>
                <w:sz w:val="28"/>
                <w:szCs w:val="28"/>
                <w:lang w:eastAsia="zh-CN"/>
              </w:rPr>
              <w:t>知识讲解</w:t>
            </w:r>
          </w:p>
          <w:p w14:paraId="16414892">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（40min）</w:t>
            </w:r>
          </w:p>
        </w:tc>
        <w:tc>
          <w:tcPr>
            <w:tcW w:w="7479" w:type="dxa"/>
            <w:tcBorders>
              <w:tl2br w:val="nil"/>
              <w:tr2bl w:val="nil"/>
            </w:tcBorders>
            <w:vAlign w:val="center"/>
          </w:tcPr>
          <w:p w14:paraId="2A614679">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val="0"/>
                <w:bCs/>
                <w:color w:val="C00000"/>
                <w:kern w:val="2"/>
                <w:sz w:val="24"/>
                <w:szCs w:val="24"/>
              </w:rPr>
            </w:pPr>
            <w:r>
              <w:rPr>
                <w:rFonts w:hint="eastAsia" w:ascii="宋体" w:hAnsi="宋体" w:eastAsia="宋体" w:cs="宋体"/>
                <w:b w:val="0"/>
                <w:bCs/>
                <w:color w:val="C00000"/>
                <w:kern w:val="2"/>
                <w:sz w:val="24"/>
                <w:szCs w:val="24"/>
                <w:lang w:val="en-US" w:eastAsia="zh-CN" w:bidi="ar"/>
              </w:rPr>
              <w:t>【教师】展示创编画的特点、重点及类型（</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64E9C4CB">
            <w:pPr>
              <w:keepNext w:val="0"/>
              <w:keepLines w:val="0"/>
              <w:widowControl w:val="0"/>
              <w:numPr>
                <w:ilvl w:val="0"/>
                <w:numId w:val="1"/>
              </w:numPr>
              <w:suppressLineNumbers w:val="0"/>
              <w:spacing w:before="0" w:beforeAutospacing="0" w:after="0" w:afterAutospacing="0" w:line="360" w:lineRule="auto"/>
              <w:ind w:left="0" w:leftChars="0" w:right="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全纳教育的课程设置</w:t>
            </w:r>
          </w:p>
          <w:p w14:paraId="06832941">
            <w:pPr>
              <w:keepNext w:val="0"/>
              <w:keepLines w:val="0"/>
              <w:widowControl w:val="0"/>
              <w:numPr>
                <w:ilvl w:val="0"/>
                <w:numId w:val="0"/>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思想认为任何儿童都有权利进入普通教育系统接受与正常儿童一样的教育。也就是说，教育应该满足所以儿童的需要。在教育过程中，全纳性学校应该做出不断的调整与改革，必须认识和照顾到不同学生的不同教育需要，包括教育制度的设计和教育计划的实施都应该充分考虑到他们的个体特征和需要的广泛差异，通过适宜的课程、教学组织安排、教学策略、资源利用以及社区合作等来满足儿童不同的学习类型和学习速度。全纳性教育的成功必须同时依靠学校和社会的所以资源为儿童提供有效的支持与帮助。</w:t>
            </w:r>
          </w:p>
          <w:p w14:paraId="66E27B46">
            <w:pPr>
              <w:keepNext w:val="0"/>
              <w:keepLines w:val="0"/>
              <w:widowControl w:val="0"/>
              <w:numPr>
                <w:ilvl w:val="0"/>
                <w:numId w:val="6"/>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全纳教育课程内容</w:t>
            </w:r>
          </w:p>
          <w:p w14:paraId="7F6922D8">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课程设置有注意以下两方面：一方面，应强调课程的共用性，即提供同样的、高质量的课程给所有儿童，要求那些有特殊需要的学生最终也要达到和正常儿童一样的课程目标。因此，全纳课程应是一种“共同课程”，也可称之为功能性课程或发展性课程，以儿童生理心理一般发展阶段的特点为基础，确定某一年龄阶段儿童实际应该达到的学业水平与基本技能，从而确定学校课程的目标与内容，为儿童将来能够尽快融入主流社会奠定基础。它不仅重视儿童在智育方面的发展，还强调培养和塑造儿童的行为、情感、社会交往、人际关系等。</w:t>
            </w:r>
          </w:p>
          <w:p w14:paraId="32CC89BA">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由于儿童个体之间存在很大的差异，这种差异决定我们在具体教学过程中，不能要求所有儿童都以同样的速度来学习同样的内容，因此，全纳教育课程应该具备弹性，以体现学生学习能力的多样性。另一方面，全纳教育课程尽管是在普通学校内进行，但它有着普通教育课程所没有的独特之处：更加重视设计和实施实用的课程，强调学习日常生活当中使用较频繁的技能，尤其侧重于生活自理能力和社会适应能力的培养，包括:自我护理、个人卫生、日常生活技能、娱乐与休闲、独立旅行、工作准备、社交技巧、人际关系等。如：独立穿衣、洗澡、与人打招呼、乘公交车、看电影、到餐馆点菜等。全纳教育课程内容包含：一是普通课程，即所有学生学习同样的课程，课程内容不需调整，教学目标和要求也一样；二是多重课程，即所有学生学习同样的课程内容，但要求掌握的水平不同；三是交叉课程，即所有学生参加同样的教学活动，但所学习的课程内容和要求掌握的概念不同；四是替代性课程，即教师为某些学生单独设计的课程内容和教学活动，可以根据需要在普通教室、学校或社区内进行。</w:t>
            </w:r>
          </w:p>
          <w:p w14:paraId="3EA1B03B">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对于各种残疾程度的学生来说，这种课程是学校和其他社会环境中都需要的，学会这些技能的学生能在各种环境中更好的生活与生存，在很大程度上能增强学生的自信心，同时有利于使他们更好的融入主流社会。</w:t>
            </w:r>
          </w:p>
          <w:p w14:paraId="32A91A7E">
            <w:pPr>
              <w:keepNext w:val="0"/>
              <w:keepLines w:val="0"/>
              <w:widowControl w:val="0"/>
              <w:numPr>
                <w:ilvl w:val="0"/>
                <w:numId w:val="6"/>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全纳教育课程特征</w:t>
            </w:r>
          </w:p>
          <w:p w14:paraId="3403B435">
            <w:pPr>
              <w:keepNext w:val="0"/>
              <w:keepLines w:val="0"/>
              <w:widowControl w:val="0"/>
              <w:numPr>
                <w:ilvl w:val="0"/>
                <w:numId w:val="7"/>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课程设置的文化适应性</w:t>
            </w:r>
          </w:p>
          <w:p w14:paraId="0DDC5210">
            <w:pPr>
              <w:keepNext w:val="0"/>
              <w:keepLines w:val="0"/>
              <w:widowControl w:val="0"/>
              <w:numPr>
                <w:ilvl w:val="0"/>
                <w:numId w:val="7"/>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课程设置的灵活性</w:t>
            </w:r>
          </w:p>
          <w:p w14:paraId="61A35F0C">
            <w:pPr>
              <w:keepNext w:val="0"/>
              <w:keepLines w:val="0"/>
              <w:widowControl w:val="0"/>
              <w:numPr>
                <w:ilvl w:val="0"/>
                <w:numId w:val="7"/>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课程设置的差异性</w:t>
            </w:r>
          </w:p>
          <w:p w14:paraId="141FB660">
            <w:pPr>
              <w:keepNext w:val="0"/>
              <w:keepLines w:val="0"/>
              <w:widowControl w:val="0"/>
              <w:numPr>
                <w:ilvl w:val="0"/>
                <w:numId w:val="1"/>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全纳教育管理的实施</w:t>
            </w:r>
          </w:p>
          <w:p w14:paraId="68FDC823">
            <w:pPr>
              <w:keepNext w:val="0"/>
              <w:keepLines w:val="0"/>
              <w:widowControl w:val="0"/>
              <w:numPr>
                <w:ilvl w:val="0"/>
                <w:numId w:val="8"/>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全纳教育管理的实施准备阶段</w:t>
            </w:r>
          </w:p>
          <w:p w14:paraId="64200944">
            <w:pPr>
              <w:keepNext w:val="0"/>
              <w:keepLines w:val="0"/>
              <w:widowControl w:val="0"/>
              <w:numPr>
                <w:ilvl w:val="0"/>
                <w:numId w:val="9"/>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准备阶段</w:t>
            </w:r>
          </w:p>
          <w:p w14:paraId="2808508D">
            <w:pPr>
              <w:keepNext w:val="0"/>
              <w:keepLines w:val="0"/>
              <w:widowControl w:val="0"/>
              <w:numPr>
                <w:ilvl w:val="0"/>
                <w:numId w:val="1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文化准备</w:t>
            </w:r>
          </w:p>
          <w:p w14:paraId="617AD5DA">
            <w:pPr>
              <w:keepNext w:val="0"/>
              <w:keepLines w:val="0"/>
              <w:widowControl w:val="0"/>
              <w:numPr>
                <w:ilvl w:val="0"/>
                <w:numId w:val="10"/>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制度和环境准备</w:t>
            </w:r>
          </w:p>
          <w:p w14:paraId="3BBFD3DD">
            <w:pPr>
              <w:keepNext w:val="0"/>
              <w:keepLines w:val="0"/>
              <w:widowControl w:val="0"/>
              <w:numPr>
                <w:ilvl w:val="0"/>
                <w:numId w:val="11"/>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制度准备全纳教育文化被贯彻到幼儿园的各项政策中，并引起幼儿园制度的相应变化。为了支持全纳教育，幼儿园应创建学前全纳教育的巡回服务模式。由特殊教育教师和专业工作人员负责对各类幼儿园进行巡回服务，他们通常往返于各个幼儿园之间，既直接为特殊儿童服务，也为普通幼儿园教师提供相应的咨询与指导。</w:t>
            </w:r>
          </w:p>
          <w:p w14:paraId="2B67962B">
            <w:pPr>
              <w:keepNext w:val="0"/>
              <w:keepLines w:val="0"/>
              <w:widowControl w:val="0"/>
              <w:numPr>
                <w:ilvl w:val="0"/>
                <w:numId w:val="11"/>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环境调整全纳教育文化的贯彻还体现在环境的调整上。简要地说,全纳幼儿园的环境主要体现出以下两个特点。第一，通用设计。第二，结构化。</w:t>
            </w:r>
          </w:p>
          <w:p w14:paraId="3B0FE7B2">
            <w:pPr>
              <w:keepNext w:val="0"/>
              <w:keepLines w:val="0"/>
              <w:widowControl w:val="0"/>
              <w:numPr>
                <w:ilvl w:val="0"/>
                <w:numId w:val="10"/>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教师技能准备</w:t>
            </w:r>
          </w:p>
          <w:p w14:paraId="4E6BF6B8">
            <w:pPr>
              <w:keepNext w:val="0"/>
              <w:keepLines w:val="0"/>
              <w:widowControl w:val="0"/>
              <w:numPr>
                <w:ilvl w:val="0"/>
                <w:numId w:val="8"/>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全纳教育的实施过程</w:t>
            </w:r>
          </w:p>
          <w:p w14:paraId="4AEE5202">
            <w:pPr>
              <w:keepNext w:val="0"/>
              <w:keepLines w:val="0"/>
              <w:widowControl w:val="0"/>
              <w:numPr>
                <w:ilvl w:val="0"/>
                <w:numId w:val="0"/>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全纳教育的发展，不仅仅是理论层面的，关键要在实践上真正得到发展，使所有学生，特别是有特殊教育需要的学生，能真正融入普通学校，在正常的环境中得到适合自身发展的教育，从而促进自身的不断发展。具体的教育安置模式有以下几种：</w:t>
            </w:r>
          </w:p>
          <w:p w14:paraId="02C1C734">
            <w:pPr>
              <w:keepNext w:val="0"/>
              <w:keepLines w:val="0"/>
              <w:widowControl w:val="0"/>
              <w:numPr>
                <w:ilvl w:val="0"/>
                <w:numId w:val="12"/>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资源教育模式</w:t>
            </w:r>
          </w:p>
          <w:p w14:paraId="33148A8E">
            <w:pPr>
              <w:keepNext w:val="0"/>
              <w:keepLines w:val="0"/>
              <w:widowControl w:val="0"/>
              <w:numPr>
                <w:ilvl w:val="0"/>
                <w:numId w:val="12"/>
              </w:numPr>
              <w:suppressLineNumbers w:val="0"/>
              <w:spacing w:before="0" w:beforeAutospacing="0" w:after="0" w:afterAutospacing="0" w:line="360" w:lineRule="auto"/>
              <w:ind w:left="0" w:leftChars="0" w:right="0" w:rightChars="0" w:firstLine="0" w:firstLine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合作与共同教学模式合作教学模式可分为以下几类:</w:t>
            </w:r>
          </w:p>
          <w:p w14:paraId="79B8216A">
            <w:pPr>
              <w:keepNext w:val="0"/>
              <w:keepLines w:val="0"/>
              <w:widowControl w:val="0"/>
              <w:numPr>
                <w:ilvl w:val="0"/>
                <w:numId w:val="13"/>
              </w:numPr>
              <w:suppressLineNumbers w:val="0"/>
              <w:spacing w:before="0" w:beforeAutospacing="0" w:after="0" w:afterAutospacing="0" w:line="360" w:lineRule="auto"/>
              <w:ind w:left="0" w:leftChars="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教师与助手。这种模式下，一位主导教师负责全班教学的同时，另外一位教师则作为助理教师在教室里来回走动观察学生，并在需要时给予帮助。这种策略能够为学生提供基本帮助，从而使班上学生多样化的学习需要得到满足。</w:t>
            </w:r>
          </w:p>
          <w:p w14:paraId="57CB5759">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第二，平行教学设计。教师把班级分为几个小组并同时教他们。由于师生比不高，因而更多的时候学生们专注于学习而非等待帮助，重新教学的机会即时可得，来自教师的帮助也是即时的。师生间不断地进行交流，学生的行为问题也得以减少。</w:t>
            </w:r>
          </w:p>
          <w:p w14:paraId="1743EB3D">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第三，教学站。这种合作教学模式把学生分成不同的组安排在教室里不同的位置，称之为教学站。教师将教学内容分割，然后分别进行教学。这种模式不按照具体顺序教学，而以单元来进行主题教学。其优点在于为学生提供立即进行再教学的机会，降低了师生比。此外教师能够充分合作，使交流得以持续。</w:t>
            </w:r>
          </w:p>
          <w:p w14:paraId="423A2D78">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第四，更替教学设计。在这种模式下，当其中一位教师为在内容上有困难的小组进行再教学的时候，另一位教师负责帮助其他学生巩固已学过的内容或者扩展小组的功能与目标,并使每个学生都有机会进入不同目标的小组学习。这种模式尤其适用于需要大量再教学的数学课。</w:t>
            </w:r>
          </w:p>
          <w:p w14:paraId="06EFD790">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宋体" w:hAnsi="宋体" w:cs="宋体"/>
                <w:b w:val="0"/>
                <w:bCs/>
                <w:color w:val="auto"/>
                <w:kern w:val="2"/>
                <w:sz w:val="24"/>
                <w:szCs w:val="24"/>
                <w:lang w:eastAsia="zh-CN" w:bidi="ar"/>
              </w:rPr>
            </w:pPr>
            <w:r>
              <w:rPr>
                <w:rFonts w:hint="default" w:ascii="宋体" w:hAnsi="宋体" w:cs="宋体"/>
                <w:b w:val="0"/>
                <w:bCs/>
                <w:color w:val="auto"/>
                <w:kern w:val="2"/>
                <w:sz w:val="24"/>
                <w:szCs w:val="24"/>
                <w:lang w:eastAsia="zh-CN" w:bidi="ar"/>
              </w:rPr>
              <w:t>总之，普通教师与特教教师各自有自己的优势。普通教师对课程和班上的每个儿童的学习特点有专门的了解，而特教教师在课程改编和学生差异方面有专门知识。他们之间应该建立平等、合作的关系，密切的交流和互相尊重对有效合作是最重要的。特教教师可以协助普通教师准备教学资料、帮助学生阅读和语言学习、协助学生的实践活动如手工、家务技巧等。特教教师在班级中需要辅助的地方发挥作用，这对整个班级、整个教学过程都会产生有益的影响。</w:t>
            </w:r>
          </w:p>
          <w:p w14:paraId="51B45897">
            <w:pPr>
              <w:keepNext w:val="0"/>
              <w:keepLines w:val="0"/>
              <w:widowControl w:val="0"/>
              <w:numPr>
                <w:ilvl w:val="0"/>
                <w:numId w:val="0"/>
              </w:numPr>
              <w:suppressLineNumbers w:val="0"/>
              <w:spacing w:before="0" w:beforeAutospacing="0" w:after="0" w:afterAutospacing="0" w:line="360" w:lineRule="auto"/>
              <w:ind w:left="0" w:leftChars="0" w:right="0" w:rightChars="0"/>
              <w:jc w:val="both"/>
              <w:rPr>
                <w:rFonts w:hint="default" w:ascii="Times New Roman" w:hAnsi="Times New Roman"/>
                <w:b w:val="0"/>
                <w:bCs/>
                <w:sz w:val="24"/>
                <w:szCs w:val="24"/>
              </w:rPr>
            </w:pPr>
            <w:r>
              <w:rPr>
                <w:rFonts w:hint="eastAsia" w:ascii="宋体" w:hAnsi="宋体" w:eastAsia="宋体" w:cs="宋体"/>
                <w:b w:val="0"/>
                <w:bCs/>
                <w:color w:val="auto"/>
                <w:kern w:val="2"/>
                <w:sz w:val="24"/>
                <w:szCs w:val="24"/>
                <w:lang w:val="en-US" w:eastAsia="zh-CN" w:bidi="ar"/>
              </w:rPr>
              <w:t>【学生】思考、讨论。</w:t>
            </w:r>
          </w:p>
        </w:tc>
        <w:tc>
          <w:tcPr>
            <w:tcW w:w="1915" w:type="dxa"/>
            <w:tcBorders>
              <w:tl2br w:val="nil"/>
              <w:tr2bl w:val="nil"/>
            </w:tcBorders>
            <w:vAlign w:val="center"/>
          </w:tcPr>
          <w:p w14:paraId="3892FF2D">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default" w:ascii="Times New Roman" w:hAnsi="Times New Roman"/>
                <w:b w:val="0"/>
                <w:bCs/>
                <w:sz w:val="24"/>
                <w:szCs w:val="24"/>
              </w:rPr>
              <w:t>全纳教育课程内容及课程设置及管理实施</w:t>
            </w:r>
          </w:p>
        </w:tc>
      </w:tr>
      <w:tr w14:paraId="07AE6F8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ABF00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val="0"/>
                <w:bCs/>
                <w:color w:val="806000" w:themeColor="accent4" w:themeShade="80"/>
                <w:kern w:val="2"/>
                <w:sz w:val="28"/>
                <w:szCs w:val="28"/>
              </w:rPr>
            </w:pPr>
            <w:r>
              <w:rPr>
                <w:rFonts w:hint="eastAsia" w:ascii="宋体" w:hAnsi="宋体" w:eastAsia="宋体" w:cs="宋体"/>
                <w:b w:val="0"/>
                <w:bCs/>
                <w:color w:val="806000" w:themeColor="accent4" w:themeShade="80"/>
                <w:kern w:val="2"/>
                <w:sz w:val="28"/>
                <w:szCs w:val="28"/>
                <w:lang w:val="en-US" w:eastAsia="zh-CN" w:bidi="ar"/>
              </w:rPr>
              <w:t>课堂小结</w:t>
            </w:r>
          </w:p>
          <w:p w14:paraId="218BD0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b w:val="0"/>
                <w:bCs/>
                <w:color w:val="806000" w:themeColor="accent4" w:themeShade="80"/>
                <w:kern w:val="2"/>
                <w:sz w:val="28"/>
                <w:szCs w:val="28"/>
                <w:lang w:val="en-US" w:eastAsia="zh-CN" w:bidi="ar-SA"/>
              </w:rPr>
            </w:pPr>
            <w:r>
              <w:rPr>
                <w:rFonts w:hint="eastAsia" w:ascii="宋体" w:hAnsi="宋体" w:eastAsia="宋体" w:cs="宋体"/>
                <w:b w:val="0"/>
                <w:bCs/>
                <w:color w:val="806000" w:themeColor="accent4" w:themeShade="80"/>
                <w:kern w:val="2"/>
                <w:sz w:val="28"/>
                <w:szCs w:val="28"/>
                <w:lang w:val="en-US" w:eastAsia="zh-CN" w:bidi="ar"/>
              </w:rPr>
              <w:t>（3min）</w:t>
            </w:r>
          </w:p>
        </w:tc>
        <w:tc>
          <w:tcPr>
            <w:tcW w:w="7479" w:type="dxa"/>
            <w:tcBorders>
              <w:tl2br w:val="nil"/>
              <w:tr2bl w:val="nil"/>
            </w:tcBorders>
            <w:vAlign w:val="center"/>
          </w:tcPr>
          <w:p w14:paraId="21C2B0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b w:val="0"/>
                <w:bCs/>
                <w:kern w:val="2"/>
                <w:sz w:val="24"/>
                <w:szCs w:val="24"/>
              </w:rPr>
            </w:pPr>
            <w:r>
              <w:rPr>
                <w:rFonts w:hint="eastAsia" w:ascii="宋体" w:hAnsi="宋体" w:eastAsia="宋体" w:cs="宋体"/>
                <w:b w:val="0"/>
                <w:bCs/>
                <w:kern w:val="2"/>
                <w:sz w:val="24"/>
                <w:szCs w:val="24"/>
                <w:lang w:val="en-US" w:eastAsia="zh-CN" w:bidi="ar"/>
              </w:rPr>
              <w:t>【教师】</w:t>
            </w:r>
            <w:r>
              <w:rPr>
                <w:rFonts w:hint="eastAsia" w:ascii="宋体" w:hAnsi="宋体" w:eastAsia="宋体" w:cs="宋体"/>
                <w:b w:val="0"/>
                <w:bCs/>
                <w:color w:val="CC0066"/>
                <w:kern w:val="2"/>
                <w:sz w:val="24"/>
                <w:szCs w:val="24"/>
                <w:lang w:val="en-US" w:eastAsia="zh-CN" w:bidi="ar"/>
              </w:rPr>
              <w:t>回顾和总结本节课的知识点。</w:t>
            </w:r>
          </w:p>
          <w:p w14:paraId="70A7395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 w:val="0"/>
                <w:bCs/>
                <w:kern w:val="2"/>
                <w:sz w:val="24"/>
                <w:szCs w:val="24"/>
                <w:lang w:eastAsia="zh-CN" w:bidi="ar"/>
              </w:rPr>
            </w:pPr>
            <w:r>
              <w:rPr>
                <w:rFonts w:hint="eastAsia" w:ascii="宋体" w:hAnsi="宋体" w:eastAsia="宋体" w:cs="宋体"/>
                <w:b w:val="0"/>
                <w:bCs/>
                <w:kern w:val="2"/>
                <w:sz w:val="24"/>
                <w:szCs w:val="24"/>
                <w:lang w:val="en-US" w:eastAsia="zh-CN" w:bidi="ar"/>
              </w:rPr>
              <w:t>这节课我们一起学习了</w:t>
            </w:r>
            <w:r>
              <w:rPr>
                <w:rFonts w:hint="default" w:ascii="宋体" w:hAnsi="宋体" w:cs="宋体"/>
                <w:b w:val="0"/>
                <w:bCs/>
                <w:kern w:val="2"/>
                <w:sz w:val="24"/>
                <w:szCs w:val="24"/>
                <w:lang w:eastAsia="zh-CN" w:bidi="ar"/>
              </w:rPr>
              <w:t>全纳教育的概述及课堂设置特点及实施，让学生了解全纳教育</w:t>
            </w:r>
          </w:p>
        </w:tc>
        <w:tc>
          <w:tcPr>
            <w:tcW w:w="1915" w:type="dxa"/>
            <w:tcBorders>
              <w:tl2br w:val="nil"/>
              <w:tr2bl w:val="nil"/>
            </w:tcBorders>
            <w:vAlign w:val="center"/>
          </w:tcPr>
          <w:p w14:paraId="2499451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kern w:val="2"/>
                <w:sz w:val="24"/>
                <w:szCs w:val="24"/>
                <w:lang w:val="en-US" w:eastAsia="zh-CN" w:bidi="ar-SA"/>
              </w:rPr>
            </w:pPr>
            <w:r>
              <w:rPr>
                <w:rFonts w:hint="eastAsia" w:ascii="宋体" w:hAnsi="宋体" w:eastAsia="宋体" w:cs="宋体"/>
                <w:b w:val="0"/>
                <w:bCs/>
                <w:kern w:val="2"/>
                <w:sz w:val="24"/>
                <w:szCs w:val="24"/>
                <w:lang w:val="en-US" w:eastAsia="zh-CN" w:bidi="ar"/>
              </w:rPr>
              <w:t>通过对所学知识的回顾，培养学生的归纳总结能力</w:t>
            </w:r>
          </w:p>
        </w:tc>
      </w:tr>
      <w:tr w14:paraId="07148D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10A61D">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b w:val="0"/>
                <w:bCs/>
                <w:color w:val="806000" w:themeColor="accent4" w:themeShade="80"/>
                <w:kern w:val="2"/>
                <w:sz w:val="28"/>
                <w:szCs w:val="28"/>
                <w:lang w:val="en-US" w:eastAsia="zh-CN" w:bidi="ar-SA"/>
              </w:rPr>
            </w:pPr>
            <w:r>
              <w:rPr>
                <w:rFonts w:hint="eastAsia" w:ascii="宋体" w:hAnsi="宋体" w:eastAsia="宋体" w:cs="宋体"/>
                <w:b w:val="0"/>
                <w:bCs/>
                <w:color w:val="806000" w:themeColor="accent4" w:themeShade="80"/>
                <w:kern w:val="2"/>
                <w:sz w:val="28"/>
                <w:szCs w:val="28"/>
                <w:lang w:val="en-US" w:eastAsia="zh-CN" w:bidi="ar"/>
              </w:rPr>
              <w:t>作业布置（2min）</w:t>
            </w:r>
          </w:p>
        </w:tc>
        <w:tc>
          <w:tcPr>
            <w:tcW w:w="7479" w:type="dxa"/>
            <w:tcBorders>
              <w:tl2br w:val="nil"/>
              <w:tr2bl w:val="nil"/>
            </w:tcBorders>
            <w:vAlign w:val="center"/>
          </w:tcPr>
          <w:p w14:paraId="7C8C8121">
            <w:pPr>
              <w:keepNext w:val="0"/>
              <w:keepLines w:val="0"/>
              <w:widowControl w:val="0"/>
              <w:suppressLineNumbers w:val="0"/>
              <w:spacing w:before="0" w:beforeAutospacing="0" w:after="0" w:afterAutospacing="0" w:line="360" w:lineRule="auto"/>
              <w:ind w:left="0" w:right="0"/>
              <w:jc w:val="both"/>
              <w:rPr>
                <w:rFonts w:hint="default" w:hAnsi="宋体" w:cs="Times New Roman"/>
                <w:b w:val="0"/>
                <w:bCs/>
                <w:kern w:val="2"/>
                <w:sz w:val="24"/>
                <w:szCs w:val="24"/>
                <w:lang w:eastAsia="zh-CN" w:bidi="ar-SA"/>
              </w:rPr>
            </w:pPr>
            <w:r>
              <w:rPr>
                <w:rFonts w:hint="eastAsia" w:ascii="宋体" w:hAnsi="宋体" w:eastAsia="宋体" w:cs="宋体"/>
                <w:b w:val="0"/>
                <w:bCs/>
                <w:color w:val="C00000"/>
                <w:kern w:val="2"/>
                <w:sz w:val="24"/>
                <w:szCs w:val="24"/>
                <w:lang w:val="en-US" w:eastAsia="zh-CN" w:bidi="ar"/>
              </w:rPr>
              <w:t>【教师】布置课后作业</w:t>
            </w:r>
          </w:p>
          <w:p w14:paraId="5192EACC">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hAnsi="宋体" w:cs="Times New Roman"/>
                <w:b w:val="0"/>
                <w:bCs/>
                <w:kern w:val="2"/>
                <w:sz w:val="24"/>
                <w:szCs w:val="24"/>
                <w:lang w:eastAsia="zh-CN" w:bidi="ar-SA"/>
              </w:rPr>
            </w:pPr>
            <w:r>
              <w:rPr>
                <w:rFonts w:hint="default" w:hAnsi="宋体" w:cs="Times New Roman"/>
                <w:b w:val="0"/>
                <w:bCs/>
                <w:kern w:val="2"/>
                <w:sz w:val="24"/>
                <w:szCs w:val="24"/>
                <w:lang w:eastAsia="zh-CN" w:bidi="ar-SA"/>
              </w:rPr>
              <w:t xml:space="preserve">   实践教学</w:t>
            </w:r>
          </w:p>
          <w:p w14:paraId="4E4B8BE9">
            <w:pPr>
              <w:keepNext w:val="0"/>
              <w:keepLines w:val="0"/>
              <w:widowControl w:val="0"/>
              <w:numPr>
                <w:ilvl w:val="0"/>
                <w:numId w:val="0"/>
              </w:numPr>
              <w:suppressLineNumbers w:val="0"/>
              <w:spacing w:before="0" w:beforeAutospacing="0" w:after="0" w:afterAutospacing="0" w:line="360" w:lineRule="auto"/>
              <w:ind w:left="479" w:leftChars="228" w:right="0" w:rightChars="0" w:firstLine="0" w:firstLineChars="0"/>
              <w:jc w:val="both"/>
              <w:rPr>
                <w:rFonts w:hint="default" w:ascii="Calibri" w:hAnsi="宋体" w:eastAsia="宋体" w:cs="Times New Roman"/>
                <w:b w:val="0"/>
                <w:bCs/>
                <w:kern w:val="2"/>
                <w:sz w:val="24"/>
                <w:szCs w:val="24"/>
                <w:lang w:eastAsia="zh-CN" w:bidi="ar-SA"/>
              </w:rPr>
            </w:pPr>
            <w:r>
              <w:rPr>
                <w:rFonts w:hint="default" w:hAnsi="宋体" w:cs="Times New Roman"/>
                <w:b w:val="0"/>
                <w:bCs/>
                <w:kern w:val="2"/>
                <w:sz w:val="24"/>
                <w:szCs w:val="24"/>
                <w:lang w:eastAsia="zh-CN" w:bidi="ar-SA"/>
              </w:rPr>
              <w:t>1．分别阐述全纳教育课程设置的内容及其特征有哪些？           2.全纳教育环境下，具体的教育安置模式有哪些？</w:t>
            </w:r>
          </w:p>
        </w:tc>
        <w:tc>
          <w:tcPr>
            <w:tcW w:w="1915" w:type="dxa"/>
            <w:tcBorders>
              <w:tl2br w:val="nil"/>
              <w:tr2bl w:val="nil"/>
            </w:tcBorders>
            <w:vAlign w:val="center"/>
          </w:tcPr>
          <w:p w14:paraId="4201633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kern w:val="2"/>
                <w:sz w:val="24"/>
                <w:szCs w:val="24"/>
                <w:lang w:val="en-US" w:eastAsia="zh-CN" w:bidi="ar-SA"/>
              </w:rPr>
            </w:pPr>
            <w:r>
              <w:rPr>
                <w:rFonts w:hint="eastAsia" w:ascii="宋体" w:hAnsi="宋体" w:eastAsia="宋体" w:cs="宋体"/>
                <w:b w:val="0"/>
                <w:bCs/>
                <w:kern w:val="2"/>
                <w:sz w:val="24"/>
                <w:szCs w:val="24"/>
                <w:lang w:val="en-US" w:eastAsia="zh-CN" w:bidi="ar"/>
              </w:rPr>
              <w:t>通过课后练习，使学生巩固所学新知识</w:t>
            </w:r>
          </w:p>
        </w:tc>
      </w:tr>
      <w:tr w14:paraId="0CC6A99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5F3208">
            <w:pPr>
              <w:keepNext w:val="0"/>
              <w:keepLines w:val="0"/>
              <w:suppressLineNumbers w:val="0"/>
              <w:spacing w:before="0" w:beforeAutospacing="0" w:after="0" w:afterAutospacing="0" w:line="240" w:lineRule="auto"/>
              <w:ind w:left="0" w:leftChars="0" w:right="0" w:rightChars="0"/>
              <w:jc w:val="center"/>
              <w:rPr>
                <w:rFonts w:hint="eastAsia" w:ascii="宋体" w:hAnsi="宋体" w:eastAsia="宋体" w:cs="宋体"/>
                <w:b w:val="0"/>
                <w:bCs/>
                <w:color w:val="806000" w:themeColor="accent4" w:themeShade="80"/>
                <w:sz w:val="28"/>
                <w:szCs w:val="28"/>
              </w:rPr>
            </w:pPr>
            <w:r>
              <w:rPr>
                <w:rFonts w:hint="eastAsia" w:ascii="宋体" w:hAnsi="宋体" w:eastAsia="宋体" w:cs="宋体"/>
                <w:b w:val="0"/>
                <w:bCs/>
                <w:color w:val="806000" w:themeColor="accent4" w:themeShade="80"/>
                <w:sz w:val="28"/>
                <w:szCs w:val="28"/>
              </w:rPr>
              <w:t>教学反思</w:t>
            </w:r>
          </w:p>
        </w:tc>
        <w:tc>
          <w:tcPr>
            <w:tcW w:w="7479" w:type="dxa"/>
            <w:tcBorders>
              <w:tl2br w:val="nil"/>
              <w:tr2bl w:val="nil"/>
            </w:tcBorders>
            <w:vAlign w:val="center"/>
          </w:tcPr>
          <w:p w14:paraId="53B43213">
            <w:pPr>
              <w:keepNext w:val="0"/>
              <w:keepLines w:val="0"/>
              <w:widowControl w:val="0"/>
              <w:numPr>
                <w:ilvl w:val="0"/>
                <w:numId w:val="0"/>
              </w:numPr>
              <w:suppressLineNumbers w:val="0"/>
              <w:spacing w:before="0" w:beforeAutospacing="0" w:after="0" w:afterAutospacing="0" w:line="360" w:lineRule="auto"/>
              <w:ind w:left="0" w:right="0" w:rightChars="0" w:firstLine="480"/>
              <w:jc w:val="left"/>
              <w:rPr>
                <w:rFonts w:hint="default" w:hAnsi="宋体" w:cs="Times New Roman"/>
                <w:b w:val="0"/>
                <w:bCs/>
                <w:kern w:val="2"/>
                <w:sz w:val="24"/>
                <w:szCs w:val="24"/>
                <w:lang w:eastAsia="zh-CN" w:bidi="ar-SA"/>
              </w:rPr>
            </w:pPr>
            <w:r>
              <w:rPr>
                <w:rFonts w:hint="default" w:hAnsi="宋体" w:cs="Times New Roman"/>
                <w:b w:val="0"/>
                <w:bCs/>
                <w:kern w:val="2"/>
                <w:sz w:val="24"/>
                <w:szCs w:val="24"/>
                <w:lang w:eastAsia="zh-CN" w:bidi="ar-SA"/>
              </w:rPr>
              <w:t>学前全纳教育管理课程教学，侧重让学生理解全纳教育理念在班级管理中的落地。通过案例分析，学生对特殊需要儿童的融合支持有了具象认知，但实践模拟环节中，部分学生对个别化教育计划制定不够灵活。后续需增加实操演练，强化理论与实践的衔接，提升学生解决实际问题的能力。</w:t>
            </w:r>
          </w:p>
        </w:tc>
        <w:tc>
          <w:tcPr>
            <w:tcW w:w="1915" w:type="dxa"/>
            <w:tcBorders>
              <w:tl2br w:val="nil"/>
              <w:tr2bl w:val="nil"/>
            </w:tcBorders>
            <w:vAlign w:val="center"/>
          </w:tcPr>
          <w:p w14:paraId="3A6500AB">
            <w:pPr>
              <w:keepNext w:val="0"/>
              <w:keepLines w:val="0"/>
              <w:suppressLineNumbers w:val="0"/>
              <w:spacing w:before="0" w:beforeAutospacing="0" w:after="0" w:afterAutospacing="0" w:line="240" w:lineRule="auto"/>
              <w:ind w:left="0" w:leftChars="0" w:right="0" w:rightChars="0"/>
              <w:jc w:val="center"/>
              <w:rPr>
                <w:rFonts w:hint="default" w:ascii="Times New Roman" w:hAnsi="Times New Roman"/>
                <w:b w:val="0"/>
                <w:bCs/>
                <w:sz w:val="24"/>
                <w:szCs w:val="24"/>
              </w:rPr>
            </w:pPr>
            <w:r>
              <w:rPr>
                <w:rFonts w:hint="eastAsia" w:ascii="宋体" w:hAnsi="宋体" w:eastAsia="宋体" w:cs="宋体"/>
                <w:b w:val="0"/>
                <w:bCs/>
                <w:color w:val="auto"/>
                <w:sz w:val="28"/>
                <w:szCs w:val="28"/>
              </w:rPr>
              <w:t>教学反思</w:t>
            </w:r>
          </w:p>
        </w:tc>
      </w:tr>
    </w:tbl>
    <w:p w14:paraId="4128B355"/>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700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A5C62">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C016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F3E84">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B7120">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A5868">
    <w:pPr>
      <w:pStyle w:val="8"/>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F7208"/>
    <w:multiLevelType w:val="singleLevel"/>
    <w:tmpl w:val="97FF7208"/>
    <w:lvl w:ilvl="0" w:tentative="0">
      <w:start w:val="1"/>
      <w:numFmt w:val="chineseCounting"/>
      <w:suff w:val="space"/>
      <w:lvlText w:val="第%1节"/>
      <w:lvlJc w:val="left"/>
      <w:rPr>
        <w:rFonts w:hint="eastAsia"/>
      </w:rPr>
    </w:lvl>
  </w:abstractNum>
  <w:abstractNum w:abstractNumId="1">
    <w:nsid w:val="B58E1719"/>
    <w:multiLevelType w:val="singleLevel"/>
    <w:tmpl w:val="B58E1719"/>
    <w:lvl w:ilvl="0" w:tentative="0">
      <w:start w:val="3"/>
      <w:numFmt w:val="chineseCounting"/>
      <w:lvlText w:val="(%1)"/>
      <w:lvlJc w:val="left"/>
      <w:pPr>
        <w:tabs>
          <w:tab w:val="left" w:pos="312"/>
        </w:tabs>
      </w:pPr>
      <w:rPr>
        <w:rFonts w:hint="eastAsia"/>
      </w:rPr>
    </w:lvl>
  </w:abstractNum>
  <w:abstractNum w:abstractNumId="2">
    <w:nsid w:val="BFBFE81F"/>
    <w:multiLevelType w:val="singleLevel"/>
    <w:tmpl w:val="BFBFE81F"/>
    <w:lvl w:ilvl="0" w:tentative="0">
      <w:start w:val="1"/>
      <w:numFmt w:val="chineseCounting"/>
      <w:suff w:val="nothing"/>
      <w:lvlText w:val="第%1，"/>
      <w:lvlJc w:val="left"/>
      <w:rPr>
        <w:rFonts w:hint="eastAsia"/>
      </w:rPr>
    </w:lvl>
  </w:abstractNum>
  <w:abstractNum w:abstractNumId="3">
    <w:nsid w:val="BFDEEAA1"/>
    <w:multiLevelType w:val="singleLevel"/>
    <w:tmpl w:val="BFDEEAA1"/>
    <w:lvl w:ilvl="0" w:tentative="0">
      <w:start w:val="1"/>
      <w:numFmt w:val="chineseCounting"/>
      <w:suff w:val="nothing"/>
      <w:lvlText w:val="（%1）"/>
      <w:lvlJc w:val="left"/>
      <w:rPr>
        <w:rFonts w:hint="eastAsia"/>
      </w:rPr>
    </w:lvl>
  </w:abstractNum>
  <w:abstractNum w:abstractNumId="4">
    <w:nsid w:val="CFEB36CE"/>
    <w:multiLevelType w:val="singleLevel"/>
    <w:tmpl w:val="CFEB36CE"/>
    <w:lvl w:ilvl="0" w:tentative="0">
      <w:start w:val="2"/>
      <w:numFmt w:val="chineseCounting"/>
      <w:suff w:val="nothing"/>
      <w:lvlText w:val="%1、"/>
      <w:lvlJc w:val="left"/>
      <w:rPr>
        <w:rFonts w:hint="eastAsia"/>
      </w:rPr>
    </w:lvl>
  </w:abstractNum>
  <w:abstractNum w:abstractNumId="5">
    <w:nsid w:val="F4F499FF"/>
    <w:multiLevelType w:val="singleLevel"/>
    <w:tmpl w:val="F4F499FF"/>
    <w:lvl w:ilvl="0" w:tentative="0">
      <w:start w:val="1"/>
      <w:numFmt w:val="decimal"/>
      <w:suff w:val="nothing"/>
      <w:lvlText w:val="%1．"/>
      <w:lvlJc w:val="left"/>
    </w:lvl>
  </w:abstractNum>
  <w:abstractNum w:abstractNumId="6">
    <w:nsid w:val="FB7D1992"/>
    <w:multiLevelType w:val="singleLevel"/>
    <w:tmpl w:val="FB7D1992"/>
    <w:lvl w:ilvl="0" w:tentative="0">
      <w:start w:val="1"/>
      <w:numFmt w:val="decimal"/>
      <w:lvlText w:val="(%1)"/>
      <w:lvlJc w:val="left"/>
      <w:pPr>
        <w:tabs>
          <w:tab w:val="left" w:pos="312"/>
        </w:tabs>
      </w:pPr>
    </w:lvl>
  </w:abstractNum>
  <w:abstractNum w:abstractNumId="7">
    <w:nsid w:val="FFFC00DB"/>
    <w:multiLevelType w:val="singleLevel"/>
    <w:tmpl w:val="FFFC00DB"/>
    <w:lvl w:ilvl="0" w:tentative="0">
      <w:start w:val="1"/>
      <w:numFmt w:val="chineseCounting"/>
      <w:suff w:val="nothing"/>
      <w:lvlText w:val="%1、"/>
      <w:lvlJc w:val="left"/>
      <w:rPr>
        <w:rFonts w:hint="eastAsia"/>
      </w:rPr>
    </w:lvl>
  </w:abstractNum>
  <w:abstractNum w:abstractNumId="8">
    <w:nsid w:val="566DFB00"/>
    <w:multiLevelType w:val="singleLevel"/>
    <w:tmpl w:val="566DFB00"/>
    <w:lvl w:ilvl="0" w:tentative="0">
      <w:start w:val="1"/>
      <w:numFmt w:val="decimal"/>
      <w:suff w:val="nothing"/>
      <w:lvlText w:val="%1．"/>
      <w:lvlJc w:val="left"/>
    </w:lvl>
  </w:abstractNum>
  <w:abstractNum w:abstractNumId="9">
    <w:nsid w:val="5FFBA64C"/>
    <w:multiLevelType w:val="singleLevel"/>
    <w:tmpl w:val="5FFBA64C"/>
    <w:lvl w:ilvl="0" w:tentative="0">
      <w:start w:val="1"/>
      <w:numFmt w:val="chineseCounting"/>
      <w:suff w:val="nothing"/>
      <w:lvlText w:val="%1、"/>
      <w:lvlJc w:val="left"/>
      <w:rPr>
        <w:rFonts w:hint="eastAsia"/>
      </w:rPr>
    </w:lvl>
  </w:abstractNum>
  <w:abstractNum w:abstractNumId="10">
    <w:nsid w:val="7AAC68EC"/>
    <w:multiLevelType w:val="singleLevel"/>
    <w:tmpl w:val="7AAC68EC"/>
    <w:lvl w:ilvl="0" w:tentative="0">
      <w:start w:val="1"/>
      <w:numFmt w:val="chineseCounting"/>
      <w:suff w:val="nothing"/>
      <w:lvlText w:val="（%1）"/>
      <w:lvlJc w:val="left"/>
      <w:rPr>
        <w:rFonts w:hint="eastAsia"/>
      </w:rPr>
    </w:lvl>
  </w:abstractNum>
  <w:abstractNum w:abstractNumId="11">
    <w:nsid w:val="7F3F91C3"/>
    <w:multiLevelType w:val="singleLevel"/>
    <w:tmpl w:val="7F3F91C3"/>
    <w:lvl w:ilvl="0" w:tentative="0">
      <w:start w:val="1"/>
      <w:numFmt w:val="chineseCounting"/>
      <w:suff w:val="nothing"/>
      <w:lvlText w:val="（%1）"/>
      <w:lvlJc w:val="left"/>
      <w:rPr>
        <w:rFonts w:hint="eastAsia"/>
      </w:rPr>
    </w:lvl>
  </w:abstractNum>
  <w:abstractNum w:abstractNumId="12">
    <w:nsid w:val="7FAF0DE8"/>
    <w:multiLevelType w:val="singleLevel"/>
    <w:tmpl w:val="7FAF0DE8"/>
    <w:lvl w:ilvl="0" w:tentative="0">
      <w:start w:val="1"/>
      <w:numFmt w:val="chineseCounting"/>
      <w:suff w:val="nothing"/>
      <w:lvlText w:val="（%1）"/>
      <w:lvlJc w:val="left"/>
      <w:rPr>
        <w:rFonts w:hint="eastAsia"/>
      </w:rPr>
    </w:lvl>
  </w:abstractNum>
  <w:num w:numId="1">
    <w:abstractNumId w:val="0"/>
  </w:num>
  <w:num w:numId="2">
    <w:abstractNumId w:val="12"/>
  </w:num>
  <w:num w:numId="3">
    <w:abstractNumId w:val="1"/>
  </w:num>
  <w:num w:numId="4">
    <w:abstractNumId w:val="4"/>
  </w:num>
  <w:num w:numId="5">
    <w:abstractNumId w:val="3"/>
  </w:num>
  <w:num w:numId="6">
    <w:abstractNumId w:val="9"/>
  </w:num>
  <w:num w:numId="7">
    <w:abstractNumId w:val="5"/>
  </w:num>
  <w:num w:numId="8">
    <w:abstractNumId w:val="7"/>
  </w:num>
  <w:num w:numId="9">
    <w:abstractNumId w:val="10"/>
  </w:num>
  <w:num w:numId="10">
    <w:abstractNumId w:val="8"/>
  </w:num>
  <w:num w:numId="11">
    <w:abstractNumId w:val="6"/>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5N2E2ODcyN2ExMjg0ZTJhYWVjODhkODRhZjA1MzE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38E17D4"/>
    <w:rsid w:val="14BA1BCC"/>
    <w:rsid w:val="16527C12"/>
    <w:rsid w:val="166A24C7"/>
    <w:rsid w:val="1FB84519"/>
    <w:rsid w:val="218A5BED"/>
    <w:rsid w:val="24B477DD"/>
    <w:rsid w:val="28B578A7"/>
    <w:rsid w:val="2AA94BB4"/>
    <w:rsid w:val="2E4E7AE6"/>
    <w:rsid w:val="322A12C5"/>
    <w:rsid w:val="333E3614"/>
    <w:rsid w:val="34AD60CD"/>
    <w:rsid w:val="368D542E"/>
    <w:rsid w:val="3697760B"/>
    <w:rsid w:val="373D56B9"/>
    <w:rsid w:val="388B134B"/>
    <w:rsid w:val="3EB371A6"/>
    <w:rsid w:val="3F52185E"/>
    <w:rsid w:val="3F9D3566"/>
    <w:rsid w:val="436C72A2"/>
    <w:rsid w:val="43CD7F64"/>
    <w:rsid w:val="44B33A23"/>
    <w:rsid w:val="45244351"/>
    <w:rsid w:val="45C91BBA"/>
    <w:rsid w:val="4C7F0E23"/>
    <w:rsid w:val="50F73284"/>
    <w:rsid w:val="5A7C6694"/>
    <w:rsid w:val="5C2D08FD"/>
    <w:rsid w:val="65223234"/>
    <w:rsid w:val="66793AC0"/>
    <w:rsid w:val="691C456D"/>
    <w:rsid w:val="6B6B2229"/>
    <w:rsid w:val="6D6D3354"/>
    <w:rsid w:val="75AB3552"/>
    <w:rsid w:val="7D7034BE"/>
    <w:rsid w:val="7E1F5A45"/>
    <w:rsid w:val="D1DF8BA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4269</Words>
  <Characters>4336</Characters>
  <Lines>1</Lines>
  <Paragraphs>1</Paragraphs>
  <TotalTime>3</TotalTime>
  <ScaleCrop>false</ScaleCrop>
  <LinksUpToDate>false</LinksUpToDate>
  <CharactersWithSpaces>4353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2021-06-09T02:03:00Z</dcterms:created>
  <dc:creator>DELL</dc:creator>
  <cp:lastModifiedBy>Administrator</cp:lastModifiedBy>
  <dcterms:modified xsi:type="dcterms:W3CDTF">2025-08-12T13:24:23Z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BB613CC7DD4D42658C2481AAC33605F1_13</vt:lpwstr>
  </property>
  <property fmtid="{D5CDD505-2E9C-101B-9397-08002B2CF9AE}" pid="4" name="KSOTemplateDocerSaveRecord">
    <vt:lpwstr>eyJoZGlkIjoiNGNkNDU1MDVjOTc5NjVlMDdjNjcwZmQ3OGQ5YjIxOTgifQ==</vt:lpwstr>
  </property>
</Properties>
</file>